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6313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1380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Koschel Williams Ena</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ONE SE CONVENIENCE BLVD.</w:t>
            </w:r>
          </w:p>
        </w:tc>
        <w:tc>
          <w:tcPr>
            <w:tcW w:w="124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ANKENY</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IA</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50021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CASEYS GENERAL STORES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CASY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4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115"/>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7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7"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228"/>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0000FF"/>
              </w:rPr>
              <w:t>07/01/2026</w:t>
            </w:r>
          </w:p>
        </w:tc>
        <w:tc>
          <w:tcPr>
            <w:tcW w:w="1100" w:type="dxa"/>
            <w:vAlign w:val="bottom"/>
          </w:tcPr>
          <w:p>
            <w:pPr>
              <w:spacing w:after="0"/>
              <w:rPr>
                <w:sz w:val="22"/>
                <w:szCs w:val="22"/>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right"/>
              <w:ind w:right="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785.2</w:t>
            </w:r>
          </w:p>
        </w:tc>
        <w:tc>
          <w:tcPr>
            <w:tcW w:w="1120" w:type="dxa"/>
            <w:vAlign w:val="bottom"/>
          </w:tcPr>
          <w:p>
            <w:pPr>
              <w:jc w:val="right"/>
              <w:ind w:right="260"/>
              <w:spacing w:after="0"/>
              <w:rPr>
                <w:sz w:val="20"/>
                <w:szCs w:val="20"/>
                <w:color w:val="auto"/>
              </w:rPr>
            </w:pPr>
            <w:r>
              <w:rPr>
                <w:rFonts w:ascii="Times New Roman" w:cs="Times New Roman" w:eastAsia="Times New Roman" w:hAnsi="Times New Roman"/>
                <w:sz w:val="17"/>
                <w:szCs w:val="17"/>
                <w:color w:val="0000FF"/>
              </w:rPr>
              <w:t>24,769</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Voting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tender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ind w:right="280"/>
              <w:spacing w:after="0" w:line="209" w:lineRule="exact"/>
              <w:rPr>
                <w:sz w:val="20"/>
                <w:szCs w:val="20"/>
                <w:color w:val="auto"/>
              </w:rPr>
            </w:pPr>
            <w:r>
              <w:rPr>
                <w:rFonts w:ascii="Times New Roman" w:cs="Times New Roman" w:eastAsia="Times New Roman" w:hAnsi="Times New Roman"/>
                <w:sz w:val="24"/>
                <w:szCs w:val="24"/>
                <w:color w:val="0000FF"/>
                <w:vertAlign w:val="subscript"/>
              </w:rPr>
              <w:t>419</w:t>
            </w:r>
            <w:r>
              <w:rPr>
                <w:rFonts w:ascii="Times New Roman" w:cs="Times New Roman" w:eastAsia="Times New Roman" w:hAnsi="Times New Roman"/>
                <w:sz w:val="9"/>
                <w:szCs w:val="9"/>
                <w:color w:val="008000"/>
              </w:rPr>
              <w:t>(1)</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under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520" w:type="dxa"/>
            <w:vAlign w:val="bottom"/>
            <w:vMerge w:val="restart"/>
          </w:tcPr>
          <w:p>
            <w:pPr>
              <w:jc w:val="right"/>
              <w:ind w:right="2126"/>
              <w:spacing w:after="0"/>
              <w:rPr>
                <w:sz w:val="20"/>
                <w:szCs w:val="20"/>
                <w:color w:val="auto"/>
              </w:rPr>
            </w:pPr>
            <w:r>
              <w:rPr>
                <w:rFonts w:ascii="Times New Roman" w:cs="Times New Roman" w:eastAsia="Times New Roman" w:hAnsi="Times New Roman"/>
                <w:sz w:val="11"/>
                <w:szCs w:val="11"/>
                <w:color w:val="008000"/>
              </w:rPr>
              <w:t>(2)</w:t>
            </w:r>
          </w:p>
        </w:tc>
        <w:tc>
          <w:tcPr>
            <w:tcW w:w="26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9"/>
              </w:rPr>
              <w:t>Common</w:t>
            </w:r>
          </w:p>
        </w:tc>
        <w:tc>
          <w:tcPr>
            <w:tcW w:w="1040" w:type="dxa"/>
            <w:vAlign w:val="bottom"/>
            <w:vMerge w:val="restart"/>
          </w:tcPr>
          <w:p>
            <w:pPr>
              <w:jc w:val="center"/>
              <w:ind w:right="375"/>
              <w:spacing w:after="0"/>
              <w:rPr>
                <w:sz w:val="20"/>
                <w:szCs w:val="20"/>
                <w:color w:val="auto"/>
              </w:rPr>
            </w:pPr>
            <w:r>
              <w:rPr>
                <w:rFonts w:ascii="Times New Roman" w:cs="Times New Roman" w:eastAsia="Times New Roman" w:hAnsi="Times New Roman"/>
                <w:sz w:val="17"/>
                <w:szCs w:val="17"/>
                <w:color w:val="0000FF"/>
              </w:rPr>
              <w:t>536</w:t>
            </w:r>
          </w:p>
        </w:tc>
        <w:tc>
          <w:tcPr>
            <w:tcW w:w="1180" w:type="dxa"/>
            <w:vAlign w:val="bottom"/>
            <w:vMerge w:val="restart"/>
          </w:tcPr>
          <w:p>
            <w:pPr>
              <w:jc w:val="center"/>
              <w:ind w:left="195"/>
              <w:spacing w:after="0"/>
              <w:rPr>
                <w:sz w:val="20"/>
                <w:szCs w:val="20"/>
                <w:color w:val="auto"/>
              </w:rPr>
            </w:pPr>
            <w:r>
              <w:rPr>
                <w:rFonts w:ascii="Times New Roman" w:cs="Times New Roman" w:eastAsia="Times New Roman" w:hAnsi="Times New Roman"/>
                <w:sz w:val="13"/>
                <w:szCs w:val="13"/>
                <w:color w:val="0000FF"/>
              </w:rPr>
              <w:t>536</w:t>
            </w: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520" w:type="dxa"/>
            <w:vAlign w:val="bottom"/>
            <w:vMerge w:val="continue"/>
          </w:tcPr>
          <w:p>
            <w:pPr>
              <w:spacing w:after="0"/>
              <w:rPr>
                <w:sz w:val="9"/>
                <w:szCs w:val="9"/>
                <w:color w:val="auto"/>
              </w:rPr>
            </w:pPr>
          </w:p>
        </w:tc>
        <w:tc>
          <w:tcPr>
            <w:tcW w:w="26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4"/>
              </w:rPr>
              <w:t>Stock</w:t>
            </w:r>
          </w:p>
        </w:tc>
        <w:tc>
          <w:tcPr>
            <w:tcW w:w="10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25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520" w:type="dxa"/>
            <w:vAlign w:val="bottom"/>
            <w:vMerge w:val="restart"/>
          </w:tcPr>
          <w:p>
            <w:pPr>
              <w:jc w:val="right"/>
              <w:ind w:right="2126"/>
              <w:spacing w:after="0"/>
              <w:rPr>
                <w:sz w:val="20"/>
                <w:szCs w:val="20"/>
                <w:color w:val="auto"/>
              </w:rPr>
            </w:pPr>
            <w:r>
              <w:rPr>
                <w:rFonts w:ascii="Times New Roman" w:cs="Times New Roman" w:eastAsia="Times New Roman" w:hAnsi="Times New Roman"/>
                <w:sz w:val="11"/>
                <w:szCs w:val="11"/>
                <w:color w:val="008000"/>
              </w:rPr>
              <w:t>(2)</w:t>
            </w:r>
          </w:p>
        </w:tc>
        <w:tc>
          <w:tcPr>
            <w:tcW w:w="26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9"/>
              </w:rPr>
              <w:t>Common</w:t>
            </w:r>
          </w:p>
        </w:tc>
        <w:tc>
          <w:tcPr>
            <w:tcW w:w="1040" w:type="dxa"/>
            <w:vAlign w:val="bottom"/>
            <w:vMerge w:val="restart"/>
          </w:tcPr>
          <w:p>
            <w:pPr>
              <w:jc w:val="center"/>
              <w:ind w:right="375"/>
              <w:spacing w:after="0"/>
              <w:rPr>
                <w:sz w:val="20"/>
                <w:szCs w:val="20"/>
                <w:color w:val="auto"/>
              </w:rPr>
            </w:pPr>
            <w:r>
              <w:rPr>
                <w:rFonts w:ascii="Times New Roman" w:cs="Times New Roman" w:eastAsia="Times New Roman" w:hAnsi="Times New Roman"/>
                <w:sz w:val="17"/>
                <w:szCs w:val="17"/>
                <w:color w:val="0000FF"/>
                <w:w w:val="99"/>
              </w:rPr>
              <w:t>1,060</w:t>
            </w:r>
          </w:p>
        </w:tc>
        <w:tc>
          <w:tcPr>
            <w:tcW w:w="1180" w:type="dxa"/>
            <w:vAlign w:val="bottom"/>
            <w:vMerge w:val="restart"/>
          </w:tcPr>
          <w:p>
            <w:pPr>
              <w:jc w:val="center"/>
              <w:ind w:left="175"/>
              <w:spacing w:after="0"/>
              <w:rPr>
                <w:sz w:val="20"/>
                <w:szCs w:val="20"/>
                <w:color w:val="auto"/>
              </w:rPr>
            </w:pPr>
            <w:r>
              <w:rPr>
                <w:rFonts w:ascii="Times New Roman" w:cs="Times New Roman" w:eastAsia="Times New Roman" w:hAnsi="Times New Roman"/>
                <w:sz w:val="13"/>
                <w:szCs w:val="13"/>
                <w:color w:val="0000FF"/>
              </w:rPr>
              <w:t>1,060</w:t>
            </w: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520" w:type="dxa"/>
            <w:vAlign w:val="bottom"/>
            <w:vMerge w:val="continue"/>
          </w:tcPr>
          <w:p>
            <w:pPr>
              <w:spacing w:after="0"/>
              <w:rPr>
                <w:sz w:val="9"/>
                <w:szCs w:val="9"/>
                <w:color w:val="auto"/>
              </w:rPr>
            </w:pPr>
          </w:p>
        </w:tc>
        <w:tc>
          <w:tcPr>
            <w:tcW w:w="26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4"/>
              </w:rPr>
              <w:t>Stock</w:t>
            </w:r>
          </w:p>
        </w:tc>
        <w:tc>
          <w:tcPr>
            <w:tcW w:w="10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25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520" w:type="dxa"/>
            <w:vAlign w:val="bottom"/>
            <w:vMerge w:val="restart"/>
          </w:tcPr>
          <w:p>
            <w:pPr>
              <w:jc w:val="right"/>
              <w:ind w:right="2126"/>
              <w:spacing w:after="0"/>
              <w:rPr>
                <w:sz w:val="20"/>
                <w:szCs w:val="20"/>
                <w:color w:val="auto"/>
              </w:rPr>
            </w:pPr>
            <w:r>
              <w:rPr>
                <w:rFonts w:ascii="Times New Roman" w:cs="Times New Roman" w:eastAsia="Times New Roman" w:hAnsi="Times New Roman"/>
                <w:sz w:val="11"/>
                <w:szCs w:val="11"/>
                <w:color w:val="008000"/>
              </w:rPr>
              <w:t>(2)</w:t>
            </w:r>
          </w:p>
        </w:tc>
        <w:tc>
          <w:tcPr>
            <w:tcW w:w="26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9"/>
              </w:rPr>
              <w:t>Common</w:t>
            </w:r>
          </w:p>
        </w:tc>
        <w:tc>
          <w:tcPr>
            <w:tcW w:w="1040" w:type="dxa"/>
            <w:vAlign w:val="bottom"/>
            <w:vMerge w:val="restart"/>
          </w:tcPr>
          <w:p>
            <w:pPr>
              <w:jc w:val="center"/>
              <w:ind w:right="375"/>
              <w:spacing w:after="0"/>
              <w:rPr>
                <w:sz w:val="20"/>
                <w:szCs w:val="20"/>
                <w:color w:val="auto"/>
              </w:rPr>
            </w:pPr>
            <w:r>
              <w:rPr>
                <w:rFonts w:ascii="Times New Roman" w:cs="Times New Roman" w:eastAsia="Times New Roman" w:hAnsi="Times New Roman"/>
                <w:sz w:val="17"/>
                <w:szCs w:val="17"/>
                <w:color w:val="0000FF"/>
              </w:rPr>
              <w:t>899</w:t>
            </w:r>
          </w:p>
        </w:tc>
        <w:tc>
          <w:tcPr>
            <w:tcW w:w="1180" w:type="dxa"/>
            <w:vAlign w:val="bottom"/>
            <w:vMerge w:val="restart"/>
          </w:tcPr>
          <w:p>
            <w:pPr>
              <w:jc w:val="center"/>
              <w:ind w:left="195"/>
              <w:spacing w:after="0"/>
              <w:rPr>
                <w:sz w:val="20"/>
                <w:szCs w:val="20"/>
                <w:color w:val="auto"/>
              </w:rPr>
            </w:pPr>
            <w:r>
              <w:rPr>
                <w:rFonts w:ascii="Times New Roman" w:cs="Times New Roman" w:eastAsia="Times New Roman" w:hAnsi="Times New Roman"/>
                <w:sz w:val="13"/>
                <w:szCs w:val="13"/>
                <w:color w:val="0000FF"/>
              </w:rPr>
              <w:t>899</w:t>
            </w: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520" w:type="dxa"/>
            <w:vAlign w:val="bottom"/>
            <w:vMerge w:val="continue"/>
          </w:tcPr>
          <w:p>
            <w:pPr>
              <w:spacing w:after="0"/>
              <w:rPr>
                <w:sz w:val="9"/>
                <w:szCs w:val="9"/>
                <w:color w:val="auto"/>
              </w:rPr>
            </w:pPr>
          </w:p>
        </w:tc>
        <w:tc>
          <w:tcPr>
            <w:tcW w:w="26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4"/>
              </w:rPr>
              <w:t>Stock</w:t>
            </w:r>
          </w:p>
        </w:tc>
        <w:tc>
          <w:tcPr>
            <w:tcW w:w="10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25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Allocated to 401k plan account as of April 30, 2026. Does not include any shares allocated by the plan trustee after that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3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Erika Bertrand,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dated December 15,</w:t>
        <w:tab/>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215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5265"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439"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7759"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2026-07-02T15:23:36Z</dcterms:created>
  <dcterms:modified xsi:type="dcterms:W3CDTF">2026-07-02T15:23:36Z</dcterms:modified>
</cp:coreProperties>
</file>