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33.jpeg" ContentType="image/jpeg"/>
  <Override PartName="/word/media/image6.jpeg" ContentType="image/jpeg"/>
  <Override PartName="/word/media/image34.jpeg" ContentType="image/jpeg"/>
  <Override PartName="/word/media/image28.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5.jpeg" ContentType="image/jpeg"/>
  <Override PartName="/word/media/image26.jpeg" ContentType="image/jpeg"/>
  <Override PartName="/word/media/image49.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2699x1_def14a_000-regcov_pg1"/>
        <w:bookmarkStart w:id="1" w:name="ny20072699x1_def14a.htm"/>
        <w:bookmarkStart w:id="2" w:name="ksny20072699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210" w:after="283"/>
        <w:jc w:val="center"/>
        <w:rPr>
          <w:rFonts w:ascii="Times New Roman;Times;serif" w:hAnsi="Times New Roman;Times;serif"/>
          <w:b/>
          <w:color w:val="000000"/>
          <w:sz w:val="36"/>
        </w:rPr>
      </w:pPr>
      <w:r>
        <w:rPr>
          <w:rFonts w:ascii="Times New Roman;Times;serif" w:hAnsi="Times New Roman;Times;serif"/>
          <w:b/>
          <w:color w:val="000000"/>
          <w:sz w:val="36"/>
        </w:rPr>
        <w:t>SCHEDULE 14A</w:t>
      </w:r>
    </w:p>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Proxy Statement Pursuant to Section 14(a) of the</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Securities Exchange Act of 1934</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(Amendment No.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the Registrant ☒      Filed by a Party other than the Registrant  ☐</w:t>
      </w:r>
    </w:p>
    <w:p>
      <w:pPr>
        <w:pStyle w:val="TextBody"/>
        <w:bidi w:val="0"/>
        <w:spacing w:before="1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Check the appropriate box:</w:t>
      </w:r>
    </w:p>
    <w:tbl>
      <w:tblPr>
        <w:tblW w:w="2710" w:type="dxa"/>
        <w:jc w:val="left"/>
        <w:tblInd w:w="0" w:type="dxa"/>
        <w:tblLayout w:type="fixed"/>
        <w:tblCellMar>
          <w:top w:w="0" w:type="dxa"/>
          <w:left w:w="0" w:type="dxa"/>
          <w:bottom w:w="0" w:type="dxa"/>
          <w:right w:w="0" w:type="dxa"/>
        </w:tblCellMar>
      </w:tblPr>
      <w:tblGrid>
        <w:gridCol w:w="305"/>
        <w:gridCol w:w="2405"/>
      </w:tblGrid>
      <w:tr>
        <w:trPr/>
        <w:tc>
          <w:tcPr>
            <w:tcW w:w="305" w:type="dxa"/>
            <w:tcBorders/>
            <w:vAlign w:val="center"/>
          </w:tcPr>
          <w:p>
            <w:pPr>
              <w:pStyle w:val="TableContents"/>
              <w:bidi w:val="0"/>
              <w:spacing w:before="0" w:after="0"/>
              <w:jc w:val="left"/>
              <w:rPr>
                <w:color w:val="000000"/>
              </w:rPr>
            </w:pPr>
            <w:r>
              <w:rPr>
                <w:color w:val="000000"/>
              </w:rPr>
              <w:t> ☐</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Preliminary Proxy Statement</w:t>
            </w:r>
          </w:p>
        </w:tc>
      </w:tr>
    </w:tbl>
    <w:tbl>
      <w:tblPr>
        <w:tblW w:w="6895" w:type="dxa"/>
        <w:jc w:val="left"/>
        <w:tblInd w:w="0" w:type="dxa"/>
        <w:tblLayout w:type="fixed"/>
        <w:tblCellMar>
          <w:top w:w="0" w:type="dxa"/>
          <w:left w:w="0" w:type="dxa"/>
          <w:bottom w:w="0" w:type="dxa"/>
          <w:right w:w="0" w:type="dxa"/>
        </w:tblCellMar>
      </w:tblPr>
      <w:tblGrid>
        <w:gridCol w:w="305"/>
        <w:gridCol w:w="6590"/>
      </w:tblGrid>
      <w:tr>
        <w:trPr/>
        <w:tc>
          <w:tcPr>
            <w:tcW w:w="305" w:type="dxa"/>
            <w:tcBorders/>
            <w:vAlign w:val="center"/>
          </w:tcPr>
          <w:p>
            <w:pPr>
              <w:pStyle w:val="TableContents"/>
              <w:bidi w:val="0"/>
              <w:spacing w:before="0" w:after="0"/>
              <w:jc w:val="left"/>
              <w:rPr>
                <w:color w:val="000000"/>
              </w:rPr>
            </w:pPr>
            <w:r>
              <w:rPr>
                <w:color w:val="000000"/>
              </w:rPr>
              <w:t> ☐</w:t>
            </w:r>
          </w:p>
        </w:tc>
        <w:tc>
          <w:tcPr>
            <w:tcW w:w="65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Confidential, for Use of the Commission Only (as permitted by Rule 14a-6(e)(2))</w:t>
            </w:r>
          </w:p>
        </w:tc>
      </w:tr>
    </w:tbl>
    <w:tbl>
      <w:tblPr>
        <w:tblW w:w="2545" w:type="dxa"/>
        <w:jc w:val="left"/>
        <w:tblInd w:w="0" w:type="dxa"/>
        <w:tblLayout w:type="fixed"/>
        <w:tblCellMar>
          <w:top w:w="0" w:type="dxa"/>
          <w:left w:w="0" w:type="dxa"/>
          <w:bottom w:w="0" w:type="dxa"/>
          <w:right w:w="0" w:type="dxa"/>
        </w:tblCellMar>
      </w:tblPr>
      <w:tblGrid>
        <w:gridCol w:w="260"/>
        <w:gridCol w:w="2285"/>
      </w:tblGrid>
      <w:tr>
        <w:trPr/>
        <w:tc>
          <w:tcPr>
            <w:tcW w:w="260" w:type="dxa"/>
            <w:tcBorders/>
            <w:vAlign w:val="center"/>
          </w:tcPr>
          <w:p>
            <w:pPr>
              <w:pStyle w:val="TableContents"/>
              <w:bidi w:val="0"/>
              <w:spacing w:before="0" w:after="0"/>
              <w:jc w:val="left"/>
              <w:rPr>
                <w:color w:val="000000"/>
              </w:rPr>
            </w:pPr>
            <w:r>
              <w:rPr>
                <w:color w:val="000000"/>
              </w:rPr>
              <w:t>☒</w:t>
            </w:r>
          </w:p>
        </w:tc>
        <w:tc>
          <w:tcPr>
            <w:tcW w:w="2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Proxy Statement</w:t>
            </w:r>
          </w:p>
        </w:tc>
      </w:tr>
    </w:tbl>
    <w:tbl>
      <w:tblPr>
        <w:tblW w:w="2950" w:type="dxa"/>
        <w:jc w:val="left"/>
        <w:tblInd w:w="0" w:type="dxa"/>
        <w:tblLayout w:type="fixed"/>
        <w:tblCellMar>
          <w:top w:w="0" w:type="dxa"/>
          <w:left w:w="0" w:type="dxa"/>
          <w:bottom w:w="0" w:type="dxa"/>
          <w:right w:w="0" w:type="dxa"/>
        </w:tblCellMar>
      </w:tblPr>
      <w:tblGrid>
        <w:gridCol w:w="305"/>
        <w:gridCol w:w="2645"/>
      </w:tblGrid>
      <w:tr>
        <w:trPr/>
        <w:tc>
          <w:tcPr>
            <w:tcW w:w="305" w:type="dxa"/>
            <w:tcBorders/>
            <w:vAlign w:val="center"/>
          </w:tcPr>
          <w:p>
            <w:pPr>
              <w:pStyle w:val="TableContents"/>
              <w:bidi w:val="0"/>
              <w:spacing w:before="0" w:after="0"/>
              <w:jc w:val="left"/>
              <w:rPr>
                <w:color w:val="000000"/>
              </w:rPr>
            </w:pPr>
            <w:r>
              <w:rPr>
                <w:color w:val="000000"/>
              </w:rPr>
              <w:t> ☐</w:t>
            </w:r>
          </w:p>
        </w:tc>
        <w:tc>
          <w:tcPr>
            <w:tcW w:w="2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Additional Materials</w:t>
            </w:r>
          </w:p>
        </w:tc>
      </w:tr>
    </w:tbl>
    <w:tbl>
      <w:tblPr>
        <w:tblW w:w="3970" w:type="dxa"/>
        <w:jc w:val="left"/>
        <w:tblInd w:w="0" w:type="dxa"/>
        <w:tblLayout w:type="fixed"/>
        <w:tblCellMar>
          <w:top w:w="0" w:type="dxa"/>
          <w:left w:w="0" w:type="dxa"/>
          <w:bottom w:w="0" w:type="dxa"/>
          <w:right w:w="0" w:type="dxa"/>
        </w:tblCellMar>
      </w:tblPr>
      <w:tblGrid>
        <w:gridCol w:w="305"/>
        <w:gridCol w:w="3665"/>
      </w:tblGrid>
      <w:tr>
        <w:trPr/>
        <w:tc>
          <w:tcPr>
            <w:tcW w:w="305" w:type="dxa"/>
            <w:tcBorders/>
            <w:vAlign w:val="center"/>
          </w:tcPr>
          <w:p>
            <w:pPr>
              <w:pStyle w:val="TableContents"/>
              <w:bidi w:val="0"/>
              <w:spacing w:before="0" w:after="0"/>
              <w:jc w:val="left"/>
              <w:rPr>
                <w:color w:val="000000"/>
              </w:rPr>
            </w:pPr>
            <w:r>
              <w:rPr>
                <w:color w:val="000000"/>
              </w:rPr>
              <w:t> ☐</w:t>
            </w:r>
          </w:p>
        </w:tc>
        <w:tc>
          <w:tcPr>
            <w:tcW w:w="3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Pursuant to §240.14a-12</w:t>
            </w:r>
          </w:p>
        </w:tc>
      </w:tr>
    </w:tbl>
    <w:tbl>
      <w:tblPr>
        <w:tblW w:w="6635" w:type="dxa"/>
        <w:jc w:val="left"/>
        <w:tblInd w:w="0" w:type="dxa"/>
        <w:tblLayout w:type="fixed"/>
        <w:tblCellMar>
          <w:top w:w="0" w:type="dxa"/>
          <w:left w:w="0" w:type="dxa"/>
          <w:bottom w:w="0" w:type="dxa"/>
          <w:right w:w="0" w:type="dxa"/>
        </w:tblCellMar>
      </w:tblPr>
      <w:tblGrid>
        <w:gridCol w:w="6635"/>
      </w:tblGrid>
      <w:tr>
        <w:trPr/>
        <w:tc>
          <w:tcPr>
            <w:tcW w:w="6635" w:type="dxa"/>
            <w:tcBorders/>
            <w:vAlign w:val="center"/>
          </w:tcPr>
          <w:p>
            <w:pPr>
              <w:pStyle w:val="TableContents"/>
              <w:bidi w:val="0"/>
              <w:spacing w:before="0" w:after="0"/>
              <w:jc w:val="left"/>
              <w:rPr/>
            </w:pPr>
            <w:r>
              <w:rPr/>
              <w:t> </w:t>
            </w:r>
          </w:p>
        </w:tc>
      </w:tr>
      <w:tr>
        <w:trPr/>
        <w:tc>
          <w:tcPr>
            <w:tcW w:w="6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40"/>
              </w:rPr>
            </w:pPr>
            <w:r>
              <w:rPr>
                <w:rFonts w:ascii="Times New Roman;Times;serif" w:hAnsi="Times New Roman;Times;serif"/>
                <w:b/>
                <w:color w:val="000000"/>
                <w:sz w:val="40"/>
              </w:rPr>
              <w:t>CASEY'S GENERAL STORES, INC.</w:t>
            </w:r>
          </w:p>
        </w:tc>
      </w:tr>
      <w:tr>
        <w:trPr/>
        <w:tc>
          <w:tcPr>
            <w:tcW w:w="6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Registrant as Specified In Its Charter)</w:t>
            </w:r>
          </w:p>
        </w:tc>
      </w:tr>
      <w:tr>
        <w:trPr/>
        <w:tc>
          <w:tcPr>
            <w:tcW w:w="663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6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Person(s) Filing Proxy Statement, if other than the Registrant)</w:t>
            </w:r>
          </w:p>
        </w:tc>
      </w:tr>
      <w:tr>
        <w:trPr/>
        <w:tc>
          <w:tcPr>
            <w:tcW w:w="6635" w:type="dxa"/>
            <w:tcBorders/>
            <w:vAlign w:val="center"/>
          </w:tcPr>
          <w:p>
            <w:pPr>
              <w:pStyle w:val="TableContents"/>
              <w:bidi w:val="0"/>
              <w:spacing w:before="0" w:after="0"/>
              <w:jc w:val="left"/>
              <w:rPr/>
            </w:pPr>
            <w:r>
              <w:rPr/>
              <w:t> </w:t>
            </w:r>
          </w:p>
        </w:tc>
      </w:tr>
    </w:tbl>
    <w:tbl>
      <w:tblPr>
        <w:tblW w:w="9198" w:type="dxa"/>
        <w:jc w:val="left"/>
        <w:tblInd w:w="0" w:type="dxa"/>
        <w:tblLayout w:type="fixed"/>
        <w:tblCellMar>
          <w:top w:w="0" w:type="dxa"/>
          <w:left w:w="0" w:type="dxa"/>
          <w:bottom w:w="0" w:type="dxa"/>
          <w:right w:w="0" w:type="dxa"/>
        </w:tblCellMar>
      </w:tblPr>
      <w:tblGrid>
        <w:gridCol w:w="320"/>
        <w:gridCol w:w="170"/>
        <w:gridCol w:w="170"/>
        <w:gridCol w:w="8270"/>
        <w:gridCol w:w="170"/>
        <w:gridCol w:w="98"/>
      </w:tblGrid>
      <w:tr>
        <w:trPr/>
        <w:tc>
          <w:tcPr>
            <w:tcW w:w="9198" w:type="dxa"/>
            <w:gridSpan w:val="6"/>
            <w:tcBorders/>
            <w:vAlign w:val="center"/>
          </w:tcPr>
          <w:p>
            <w:pPr>
              <w:pStyle w:val="TableContents"/>
              <w:bidi w:val="0"/>
              <w:spacing w:before="0" w:after="0"/>
              <w:jc w:val="left"/>
              <w:rPr/>
            </w:pPr>
            <w:r>
              <w:rPr/>
              <w:t> </w:t>
            </w:r>
          </w:p>
        </w:tc>
      </w:tr>
      <w:tr>
        <w:trPr/>
        <w:tc>
          <w:tcPr>
            <w:tcW w:w="9198" w:type="dxa"/>
            <w:gridSpan w:val="6"/>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Filing Fee (Check all boxes that apply):</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fee required</w:t>
            </w:r>
          </w:p>
        </w:tc>
        <w:tc>
          <w:tcPr>
            <w:tcW w:w="170" w:type="dxa"/>
            <w:tcBorders/>
            <w:vAlign w:val="center"/>
          </w:tcPr>
          <w:p>
            <w:pPr>
              <w:pStyle w:val="TableContents"/>
              <w:bidi w:val="0"/>
              <w:spacing w:before="0" w:after="0"/>
              <w:jc w:val="left"/>
              <w:rPr/>
            </w:pPr>
            <w:r>
              <w:rPr/>
              <w:t> </w:t>
            </w:r>
          </w:p>
        </w:tc>
        <w:tc>
          <w:tcPr>
            <w:tcW w:w="98" w:type="dxa"/>
            <w:tcBorders/>
          </w:tcPr>
          <w:p>
            <w:pPr>
              <w:pStyle w:val="TableContents"/>
              <w:bidi w:val="0"/>
              <w:spacing w:before="0" w:after="283"/>
              <w:jc w:val="left"/>
              <w:rPr>
                <w:sz w:val="4"/>
                <w:szCs w:val="4"/>
              </w:rPr>
            </w:pPr>
            <w:r>
              <w:rPr>
                <w:sz w:val="4"/>
                <w:szCs w:val="4"/>
              </w:rPr>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paid previously with preliminary materials</w:t>
            </w:r>
          </w:p>
        </w:tc>
        <w:tc>
          <w:tcPr>
            <w:tcW w:w="170" w:type="dxa"/>
            <w:tcBorders/>
            <w:vAlign w:val="center"/>
          </w:tcPr>
          <w:p>
            <w:pPr>
              <w:pStyle w:val="TableContents"/>
              <w:bidi w:val="0"/>
              <w:spacing w:before="0" w:after="0"/>
              <w:jc w:val="left"/>
              <w:rPr/>
            </w:pPr>
            <w:r>
              <w:rPr/>
              <w:t> </w:t>
            </w:r>
          </w:p>
        </w:tc>
        <w:tc>
          <w:tcPr>
            <w:tcW w:w="98" w:type="dxa"/>
            <w:tcBorders/>
          </w:tcPr>
          <w:p>
            <w:pPr>
              <w:pStyle w:val="TableContents"/>
              <w:bidi w:val="0"/>
              <w:spacing w:before="0" w:after="283"/>
              <w:jc w:val="left"/>
              <w:rPr>
                <w:sz w:val="4"/>
                <w:szCs w:val="4"/>
              </w:rPr>
            </w:pPr>
            <w:r>
              <w:rPr>
                <w:sz w:val="4"/>
                <w:szCs w:val="4"/>
              </w:rPr>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c>
          <w:tcPr>
            <w:tcW w:w="170" w:type="dxa"/>
            <w:tcBorders/>
            <w:vAlign w:val="center"/>
          </w:tcPr>
          <w:p>
            <w:pPr>
              <w:pStyle w:val="TableContents"/>
              <w:bidi w:val="0"/>
              <w:spacing w:before="0" w:after="0"/>
              <w:jc w:val="left"/>
              <w:rPr/>
            </w:pPr>
            <w:r>
              <w:rPr/>
              <w:t> </w:t>
            </w:r>
          </w:p>
        </w:tc>
        <w:tc>
          <w:tcPr>
            <w:tcW w:w="98" w:type="dxa"/>
            <w:tcBorders/>
          </w:tcPr>
          <w:p>
            <w:pPr>
              <w:pStyle w:val="TableContents"/>
              <w:bidi w:val="0"/>
              <w:spacing w:before="0" w:after="283"/>
              <w:jc w:val="left"/>
              <w:rPr>
                <w:sz w:val="4"/>
                <w:szCs w:val="4"/>
              </w:rPr>
            </w:pPr>
            <w:r>
              <w:rPr>
                <w:sz w:val="4"/>
                <w:szCs w:val="4"/>
              </w:rPr>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 w:type="dxa"/>
            <w:tcBorders/>
          </w:tcPr>
          <w:p>
            <w:pPr>
              <w:pStyle w:val="TableContents"/>
              <w:bidi w:val="0"/>
              <w:spacing w:before="0" w:after="283"/>
              <w:jc w:val="left"/>
              <w:rPr>
                <w:sz w:val="4"/>
                <w:szCs w:val="4"/>
              </w:rPr>
            </w:pPr>
            <w:r>
              <w:rPr>
                <w:sz w:val="4"/>
                <w:szCs w:val="4"/>
              </w:rPr>
            </w:r>
          </w:p>
        </w:tc>
      </w:tr>
    </w:tbl>
    <w:p>
      <w:pPr>
        <w:pStyle w:val="HorizontalLine"/>
        <w:bidi w:val="0"/>
        <w:spacing w:before="200" w:after="200"/>
        <w:jc w:val="left"/>
        <w:rPr/>
      </w:pPr>
      <w:r>
        <w:rPr/>
      </w:r>
    </w:p>
    <w:p>
      <w:pPr>
        <w:pStyle w:val="TextBody"/>
        <w:bidi w:val="0"/>
        <w:jc w:val="left"/>
        <w:rPr/>
      </w:pPr>
      <w:hyperlink w:anchor="TOC">
        <w:bookmarkStart w:id="3" w:name="ny20072699x1_def14a_100-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center"/>
        <w:rPr>
          <w:color w:val="000000"/>
        </w:rPr>
      </w:pPr>
      <w:r>
        <w:rPr>
          <w:color w:val="000000"/>
        </w:rPr>
        <w:drawing>
          <wp:inline distT="0" distB="0" distL="0" distR="0">
            <wp:extent cx="1143000" cy="885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885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69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Dear Shareholders: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 am pleased to invite you to attend the annual meeting of shareholders of Casey’s General Stores, Inc., to be held at 8:30 a.m. Central Time on September 2, 2026. The annual meeting will be held online in virtual format only, via live audio webcast at: </w:t>
      </w:r>
    </w:p>
    <w:p>
      <w:pPr>
        <w:pStyle w:val="TextBody"/>
        <w:bidi w:val="0"/>
        <w:spacing w:before="220" w:after="283"/>
        <w:jc w:val="center"/>
        <w:rPr>
          <w:rFonts w:ascii="Times New Roman;Times;serif" w:hAnsi="Times New Roman;Times;serif"/>
          <w:color w:val="000000"/>
          <w:sz w:val="19"/>
        </w:rPr>
      </w:pPr>
      <w:r>
        <w:rPr>
          <w:rFonts w:ascii="Times New Roman;Times;serif" w:hAnsi="Times New Roman;Times;serif"/>
          <w:color w:val="000000"/>
          <w:sz w:val="19"/>
          <w:u w:val="single"/>
        </w:rPr>
        <w:t>www.virtualshareholdermeeting.com/CASY2026</w:t>
      </w:r>
      <w:r>
        <w:rPr>
          <w:rFonts w:ascii="Times New Roman;Times;serif" w:hAnsi="Times New Roman;Times;serif"/>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Notice of Annual Meeting and Proxy Statement describe the matters to be considered and voted upon. At the virtual annual meeting, you will have an opportunity to vote and submit your questions through the webcast site.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Whether or not you attend the virtual annual meeting, it is important that your shares are represented. If you request a paper copy of the proxy materials, please promptly complete and return the proxy card or voter instruction form. Alternatively, you may vote by telephone or through the Internet as described below in the Proxy Statement. </w:t>
      </w:r>
    </w:p>
    <w:p>
      <w:pPr>
        <w:pStyle w:val="TextBody"/>
        <w:bidi w:val="0"/>
        <w:spacing w:before="22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On behalf of the Board of Directors and Casey’s leadership team, thank you for your support. </w:t>
      </w:r>
    </w:p>
    <w:p>
      <w:pPr>
        <w:pStyle w:val="TextBody"/>
        <w:bidi w:val="0"/>
        <w:spacing w:before="22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Sincerely, </w:t>
      </w:r>
    </w:p>
    <w:p>
      <w:pPr>
        <w:pStyle w:val="TextBody"/>
        <w:bidi w:val="0"/>
        <w:spacing w:before="335" w:after="283"/>
        <w:ind w:left="0" w:right="0" w:hanging="0"/>
        <w:jc w:val="left"/>
        <w:rPr>
          <w:color w:val="000000"/>
        </w:rPr>
      </w:pPr>
      <w:r>
        <w:rPr>
          <w:color w:val="000000"/>
        </w:rPr>
        <w:drawing>
          <wp:inline distT="0" distB="0" distL="0" distR="0">
            <wp:extent cx="2105025"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05025" cy="5429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1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Darren M. Rebelez </w:t>
      </w:r>
    </w:p>
    <w:p>
      <w:pPr>
        <w:pStyle w:val="TextBody"/>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Board Chair, President and Chief Executive Officer </w:t>
      </w:r>
    </w:p>
    <w:p>
      <w:pPr>
        <w:pStyle w:val="TextBody"/>
        <w:bidi w:val="0"/>
        <w:spacing w:before="21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July 22, 2026 </w:t>
      </w:r>
    </w:p>
    <w:p>
      <w:pPr>
        <w:pStyle w:val="HorizontalLine"/>
        <w:bidi w:val="0"/>
        <w:spacing w:before="200" w:after="200"/>
        <w:jc w:val="left"/>
        <w:rPr/>
      </w:pPr>
      <w:r>
        <w:rPr/>
      </w:r>
    </w:p>
    <w:p>
      <w:pPr>
        <w:pStyle w:val="TextBody"/>
        <w:bidi w:val="0"/>
        <w:jc w:val="left"/>
        <w:rPr/>
      </w:pPr>
      <w:hyperlink w:anchor="TOC">
        <w:bookmarkStart w:id="4" w:name="ny20072699x1_def14a_101-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r>
        <w:rPr>
          <w:rFonts w:ascii="Times New Roman;Times;serif" w:hAnsi="Times New Roman;Times;serif"/>
          <w:b/>
          <w:color w:val="000000"/>
          <w:sz w:val="24"/>
          <w:u w:val="single"/>
        </w:rPr>
        <w:t>NOTICE OF ANNUAL MEETING OF SHAREHOLDERS</w:t>
      </w:r>
      <w:r>
        <w:rPr>
          <w:rFonts w:ascii="Times New Roman;Times;serif" w:hAnsi="Times New Roman;Times;serif"/>
          <w:b/>
          <w:color w:val="000000"/>
          <w:sz w:val="24"/>
        </w:rPr>
        <w:t xml:space="preserve"> </w:t>
      </w:r>
    </w:p>
    <w:p>
      <w:pPr>
        <w:pStyle w:val="TextBody"/>
        <w:bidi w:val="0"/>
        <w:spacing w:before="34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September 2, 2026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8:30 a.m. Central Time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u w:val="single"/>
        </w:rPr>
        <w:t>www.virtualshareholdermeeting.com/CASY2026</w:t>
      </w:r>
      <w:r>
        <w:rPr>
          <w:rFonts w:ascii="Times New Roman;Times;serif" w:hAnsi="Times New Roman;Times;serif"/>
          <w:b/>
          <w:color w:val="000000"/>
          <w:sz w:val="19"/>
        </w:rPr>
        <w:t xml:space="preserve"> </w:t>
      </w:r>
    </w:p>
    <w:p>
      <w:pPr>
        <w:pStyle w:val="TextBody"/>
        <w:bidi w:val="0"/>
        <w:spacing w:before="21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2026 annual shareholders’ meeting (the “Annual Meeting”) of Casey’s General Stores, Inc. will be held as follows: </w:t>
      </w:r>
    </w:p>
    <w:tbl>
      <w:tblPr>
        <w:tblW w:w="10205" w:type="dxa"/>
        <w:jc w:val="left"/>
        <w:tblInd w:w="0" w:type="dxa"/>
        <w:tblLayout w:type="fixed"/>
        <w:tblCellMar>
          <w:top w:w="0" w:type="dxa"/>
          <w:left w:w="0" w:type="dxa"/>
          <w:bottom w:w="0" w:type="dxa"/>
          <w:right w:w="0" w:type="dxa"/>
        </w:tblCellMar>
      </w:tblPr>
      <w:tblGrid>
        <w:gridCol w:w="185"/>
        <w:gridCol w:w="1611"/>
        <w:gridCol w:w="170"/>
        <w:gridCol w:w="170"/>
        <w:gridCol w:w="3875"/>
        <w:gridCol w:w="170"/>
        <w:gridCol w:w="170"/>
        <w:gridCol w:w="1839"/>
        <w:gridCol w:w="170"/>
        <w:gridCol w:w="170"/>
        <w:gridCol w:w="1458"/>
        <w:gridCol w:w="217"/>
      </w:tblGrid>
      <w:tr>
        <w:trPr/>
        <w:tc>
          <w:tcPr>
            <w:tcW w:w="185" w:type="dxa"/>
            <w:tcBorders/>
            <w:shd w:fill="F2F2F2" w:val="clear"/>
            <w:vAlign w:val="center"/>
          </w:tcPr>
          <w:p>
            <w:pPr>
              <w:pStyle w:val="TableContents"/>
              <w:bidi w:val="0"/>
              <w:spacing w:before="0" w:after="0"/>
              <w:jc w:val="left"/>
              <w:rPr/>
            </w:pPr>
            <w:r>
              <w:rPr/>
              <w:t> </w:t>
            </w:r>
          </w:p>
        </w:tc>
        <w:tc>
          <w:tcPr>
            <w:tcW w:w="1611" w:type="dxa"/>
            <w:tcBorders/>
            <w:shd w:fill="F2F2F2" w:val="clear"/>
            <w:vAlign w:val="center"/>
          </w:tcPr>
          <w:p>
            <w:pPr>
              <w:pStyle w:val="TableContents"/>
              <w:bidi w:val="0"/>
              <w:spacing w:before="0" w:after="0"/>
              <w:jc w:val="left"/>
              <w:rPr/>
            </w:pPr>
            <w:r>
              <w:rPr/>
              <w:t> </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3875" w:type="dxa"/>
            <w:tcBorders/>
            <w:shd w:fill="F2F2F2" w:val="clear"/>
            <w:vAlign w:val="center"/>
          </w:tcPr>
          <w:p>
            <w:pPr>
              <w:pStyle w:val="TableContents"/>
              <w:bidi w:val="0"/>
              <w:spacing w:before="0" w:after="0"/>
              <w:jc w:val="left"/>
              <w:rPr/>
            </w:pPr>
            <w:r>
              <w:rPr/>
              <w:t> </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839" w:type="dxa"/>
            <w:tcBorders/>
            <w:shd w:fill="F2F2F2" w:val="clear"/>
            <w:vAlign w:val="center"/>
          </w:tcPr>
          <w:p>
            <w:pPr>
              <w:pStyle w:val="TableContents"/>
              <w:bidi w:val="0"/>
              <w:spacing w:before="0" w:after="0"/>
              <w:jc w:val="left"/>
              <w:rPr/>
            </w:pPr>
            <w:r>
              <w:rPr/>
              <w:t> </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458" w:type="dxa"/>
            <w:tcBorders/>
            <w:shd w:fill="F2F2F2" w:val="clear"/>
            <w:vAlign w:val="center"/>
          </w:tcPr>
          <w:p>
            <w:pPr>
              <w:pStyle w:val="TableContents"/>
              <w:bidi w:val="0"/>
              <w:spacing w:before="0" w:after="0"/>
              <w:jc w:val="left"/>
              <w:rPr/>
            </w:pPr>
            <w:r>
              <w:rPr/>
              <w:t> </w:t>
            </w:r>
          </w:p>
        </w:tc>
        <w:tc>
          <w:tcPr>
            <w:tcW w:w="217"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611" w:type="dxa"/>
            <w:tcBorders>
              <w:bottom w:val="single" w:sz="8" w:space="0" w:color="000000"/>
            </w:tcBorders>
            <w:shd w:fill="F2F2F2" w:val="clear"/>
            <w:tcMar>
              <w:bottom w:w="2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Date and Time</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875" w:type="dxa"/>
            <w:tcBorders>
              <w:bottom w:val="single" w:sz="8" w:space="0" w:color="000000"/>
            </w:tcBorders>
            <w:shd w:fill="F2F2F2" w:val="clear"/>
            <w:tcMar>
              <w:bottom w:w="2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Location – Virtual Meeting Only</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839" w:type="dxa"/>
            <w:tcBorders>
              <w:bottom w:val="single" w:sz="8" w:space="0" w:color="000000"/>
            </w:tcBorders>
            <w:shd w:fill="F2F2F2" w:val="clear"/>
            <w:tcMar>
              <w:bottom w:w="2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Record Date</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458" w:type="dxa"/>
            <w:tcBorders>
              <w:bottom w:val="single" w:sz="8" w:space="0" w:color="000000"/>
            </w:tcBorders>
            <w:shd w:fill="F2F2F2" w:val="clear"/>
            <w:tcMar>
              <w:bottom w:w="2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Mailing Date </w:t>
            </w:r>
          </w:p>
        </w:tc>
        <w:tc>
          <w:tcPr>
            <w:tcW w:w="217"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1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September 2, 2026</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8:30 a.m. Central Time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7"/>
                <w:u w:val="single"/>
              </w:rPr>
            </w:pPr>
            <w:r>
              <w:rPr>
                <w:rFonts w:ascii="Times New Roman;Times;serif" w:hAnsi="Times New Roman;Times;serif"/>
                <w:b/>
                <w:color w:val="000000"/>
                <w:sz w:val="17"/>
                <w:u w:val="single"/>
              </w:rPr>
              <w:t>www.virtualshareholdermeeting.com/CASY2026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3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June 29, 2026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5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On or around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July 22, 2026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1"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We encourage you to access the Annual Meeting webcast prior to the start time.</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75"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The Annual Meeting is virtual only via live audio webcast – there is no physical location for the meeting. You can ask questions and vote during the meeting.</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9"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Shareholders of record at the close of business on the record date are entitled to vote at the Annual Meeting.</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58"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Proxy materials are first being distributed or made available as of the mailing date.</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11"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7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39"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58" w:type="dxa"/>
            <w:tcBorders>
              <w:bottom w:val="single" w:sz="8" w:space="0" w:color="000000"/>
            </w:tcBorders>
            <w:tcMar>
              <w:bottom w:w="28" w:type="dxa"/>
            </w:tcMar>
            <w:vAlign w:val="center"/>
          </w:tcPr>
          <w:p>
            <w:pPr>
              <w:pStyle w:val="TableContents"/>
              <w:bidi w:val="0"/>
              <w:spacing w:before="0" w:after="0"/>
              <w:jc w:val="left"/>
              <w:rPr/>
            </w:pPr>
            <w:r>
              <w:rPr/>
              <w:t>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30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At the meeting, the following items will be considered and acted upon, as described further in the Proxy Statement: </w:t>
      </w:r>
    </w:p>
    <w:tbl>
      <w:tblPr>
        <w:tblW w:w="10205" w:type="dxa"/>
        <w:jc w:val="left"/>
        <w:tblInd w:w="0" w:type="dxa"/>
        <w:tblLayout w:type="fixed"/>
        <w:tblCellMar>
          <w:top w:w="0" w:type="dxa"/>
          <w:left w:w="0" w:type="dxa"/>
          <w:bottom w:w="0" w:type="dxa"/>
          <w:right w:w="0" w:type="dxa"/>
        </w:tblCellMar>
      </w:tblPr>
      <w:tblGrid>
        <w:gridCol w:w="185"/>
        <w:gridCol w:w="170"/>
        <w:gridCol w:w="170"/>
        <w:gridCol w:w="170"/>
        <w:gridCol w:w="9295"/>
        <w:gridCol w:w="215"/>
      </w:tblGrid>
      <w:tr>
        <w:trPr/>
        <w:tc>
          <w:tcPr>
            <w:tcW w:w="185"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8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1</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95" w:type="dxa"/>
            <w:tcBorders>
              <w:bottom w:val="single" w:sz="8" w:space="0" w:color="000000"/>
            </w:tcBorders>
            <w:tcMar>
              <w:bottom w:w="88"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To elect eleven directors to serve until the next annual shareholders’ meeting and until their successors are elected and qualified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8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2</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95" w:type="dxa"/>
            <w:tcBorders>
              <w:bottom w:val="single" w:sz="8" w:space="0" w:color="000000"/>
            </w:tcBorders>
            <w:tcMar>
              <w:bottom w:w="88"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To ratify the appointment of KPMG LLP as the Company’s independent registered public accounting firm for the fiscal year ending April 30, 2027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8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3</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95" w:type="dxa"/>
            <w:tcBorders>
              <w:bottom w:val="single" w:sz="8" w:space="0" w:color="000000"/>
            </w:tcBorders>
            <w:tcMar>
              <w:bottom w:w="88"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To hold an advisory vote on our named executive officer compensation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8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4</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95" w:type="dxa"/>
            <w:tcBorders>
              <w:bottom w:val="single" w:sz="8" w:space="0" w:color="000000"/>
            </w:tcBorders>
            <w:tcMar>
              <w:bottom w:w="88"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Shareholder proposal regarding shareholder special meeting rights, if properly presented at the Annual Meeting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5</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9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To transact such other business as may properly come before the Annual Meeting or at any adjournment or postponement thereof</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9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30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 xml:space="preserve">Your vote is important. </w:t>
      </w:r>
      <w:r>
        <w:rPr>
          <w:rFonts w:ascii="Times New Roman;Times;serif" w:hAnsi="Times New Roman;Times;serif"/>
          <w:b w:val="false"/>
          <w:color w:val="000000"/>
          <w:sz w:val="19"/>
        </w:rPr>
        <w:t xml:space="preserve">It is important that your shares be represented and voted, whether or not you plan to attend the Annual Meeting. You can vote by any of the following methods: </w:t>
      </w:r>
    </w:p>
    <w:tbl>
      <w:tblPr>
        <w:tblW w:w="10205" w:type="dxa"/>
        <w:jc w:val="left"/>
        <w:tblInd w:w="0" w:type="dxa"/>
        <w:tblLayout w:type="fixed"/>
        <w:tblCellMar>
          <w:top w:w="0" w:type="dxa"/>
          <w:left w:w="0" w:type="dxa"/>
          <w:bottom w:w="0" w:type="dxa"/>
          <w:right w:w="0" w:type="dxa"/>
        </w:tblCellMar>
      </w:tblPr>
      <w:tblGrid>
        <w:gridCol w:w="185"/>
        <w:gridCol w:w="2783"/>
        <w:gridCol w:w="170"/>
        <w:gridCol w:w="170"/>
        <w:gridCol w:w="1948"/>
        <w:gridCol w:w="170"/>
        <w:gridCol w:w="170"/>
        <w:gridCol w:w="2326"/>
        <w:gridCol w:w="170"/>
        <w:gridCol w:w="170"/>
        <w:gridCol w:w="1726"/>
        <w:gridCol w:w="217"/>
      </w:tblGrid>
      <w:tr>
        <w:trPr/>
        <w:tc>
          <w:tcPr>
            <w:tcW w:w="185" w:type="dxa"/>
            <w:tcBorders/>
            <w:shd w:fill="F2F2F2" w:val="clear"/>
            <w:vAlign w:val="center"/>
          </w:tcPr>
          <w:p>
            <w:pPr>
              <w:pStyle w:val="TableContents"/>
              <w:bidi w:val="0"/>
              <w:spacing w:before="0" w:after="0"/>
              <w:jc w:val="left"/>
              <w:rPr/>
            </w:pPr>
            <w:r>
              <w:rPr/>
              <w:t> </w:t>
            </w:r>
          </w:p>
        </w:tc>
        <w:tc>
          <w:tcPr>
            <w:tcW w:w="2783" w:type="dxa"/>
            <w:tcBorders/>
            <w:shd w:fill="F2F2F2" w:val="clear"/>
            <w:vAlign w:val="center"/>
          </w:tcPr>
          <w:p>
            <w:pPr>
              <w:pStyle w:val="TableContents"/>
              <w:bidi w:val="0"/>
              <w:spacing w:before="0" w:after="0"/>
              <w:jc w:val="left"/>
              <w:rPr/>
            </w:pPr>
            <w:r>
              <w:rPr/>
              <w:t> </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948" w:type="dxa"/>
            <w:tcBorders/>
            <w:shd w:fill="F2F2F2" w:val="clear"/>
            <w:vAlign w:val="center"/>
          </w:tcPr>
          <w:p>
            <w:pPr>
              <w:pStyle w:val="TableContents"/>
              <w:bidi w:val="0"/>
              <w:spacing w:before="0" w:after="0"/>
              <w:jc w:val="left"/>
              <w:rPr/>
            </w:pPr>
            <w:r>
              <w:rPr/>
              <w:t> </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2326" w:type="dxa"/>
            <w:tcBorders/>
            <w:shd w:fill="F2F2F2" w:val="clear"/>
            <w:vAlign w:val="center"/>
          </w:tcPr>
          <w:p>
            <w:pPr>
              <w:pStyle w:val="TableContents"/>
              <w:bidi w:val="0"/>
              <w:spacing w:before="0" w:after="0"/>
              <w:jc w:val="left"/>
              <w:rPr/>
            </w:pPr>
            <w:r>
              <w:rPr/>
              <w:t> </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726" w:type="dxa"/>
            <w:tcBorders/>
            <w:shd w:fill="F2F2F2" w:val="clear"/>
            <w:vAlign w:val="center"/>
          </w:tcPr>
          <w:p>
            <w:pPr>
              <w:pStyle w:val="TableContents"/>
              <w:bidi w:val="0"/>
              <w:spacing w:before="0" w:after="0"/>
              <w:jc w:val="left"/>
              <w:rPr/>
            </w:pPr>
            <w:r>
              <w:rPr/>
              <w:t> </w:t>
            </w:r>
          </w:p>
        </w:tc>
        <w:tc>
          <w:tcPr>
            <w:tcW w:w="217"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783"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Internet</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948"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Telephone</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326"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Mail</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26"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At the Annual Meeting </w:t>
            </w:r>
          </w:p>
        </w:tc>
        <w:tc>
          <w:tcPr>
            <w:tcW w:w="217"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783" w:type="dxa"/>
            <w:tcBorders>
              <w:bottom w:val="single" w:sz="8" w:space="0" w:color="000000"/>
            </w:tcBorders>
            <w:tcMar>
              <w:bottom w:w="58" w:type="dxa"/>
            </w:tcMar>
            <w:vAlign w:val="center"/>
          </w:tcPr>
          <w:p>
            <w:pPr>
              <w:pStyle w:val="TableContents"/>
              <w:bidi w:val="0"/>
              <w:spacing w:lineRule="atLeast" w:line="190"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You may vote on the Internet at </w:t>
            </w:r>
            <w:r>
              <w:rPr>
                <w:rFonts w:ascii="Times New Roman;Times;serif" w:hAnsi="Times New Roman;Times;serif"/>
                <w:color w:val="000000"/>
                <w:sz w:val="17"/>
                <w:u w:val="single"/>
              </w:rPr>
              <w:t>www.proxyvote.com</w:t>
            </w:r>
            <w:r>
              <w:rPr>
                <w:rFonts w:ascii="Times New Roman;Times;serif" w:hAnsi="Times New Roman;Times;serif"/>
                <w:color w:val="000000"/>
                <w:sz w:val="17"/>
              </w:rPr>
              <w:t xml:space="preserve"> or scan the QR code on your notice of internet availability, proxy card or voter instruction form.</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48"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You may vote by touch-tone telephone by calling 1-800-690-6903 or the number on your proxy card or voter instruction form.</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26"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If you received/requested paper proxy materials, return your completed/signed proxy card or voter instruction form in the postage-paid envelope provided.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26" w:type="dxa"/>
            <w:tcBorders>
              <w:bottom w:val="single" w:sz="8" w:space="0" w:color="000000"/>
            </w:tcBorders>
            <w:tcMar>
              <w:bottom w:w="58" w:type="dxa"/>
            </w:tcMar>
            <w:vAlign w:val="center"/>
          </w:tcPr>
          <w:p>
            <w:pPr>
              <w:pStyle w:val="TableContents"/>
              <w:bidi w:val="0"/>
              <w:spacing w:before="0" w:after="283"/>
              <w:jc w:val="center"/>
              <w:rPr/>
            </w:pPr>
            <w:r>
              <w:rPr>
                <w:rFonts w:ascii="Times New Roman;Times;serif" w:hAnsi="Times New Roman;Times;serif"/>
                <w:color w:val="000000"/>
                <w:sz w:val="17"/>
              </w:rPr>
              <w:t>You may vote during the Annual Meeting on the virtual meeting website, listed above. See pages </w:t>
            </w:r>
            <w:hyperlink w:anchor="tAMF">
              <w:r>
                <w:rPr>
                  <w:rStyle w:val="InternetLink"/>
                  <w:rFonts w:ascii="Times New Roman;Times;serif" w:hAnsi="Times New Roman;Times;serif"/>
                  <w:color w:val="000080"/>
                  <w:sz w:val="17"/>
                </w:rPr>
                <w:t>5</w:t>
              </w:r>
            </w:hyperlink>
            <w:r>
              <w:rPr>
                <w:rFonts w:ascii="Times New Roman;Times;serif" w:hAnsi="Times New Roman;Times;serif"/>
                <w:color w:val="000000"/>
                <w:sz w:val="17"/>
              </w:rPr>
              <w:t>-</w:t>
            </w:r>
            <w:hyperlink w:anchor="tMAIL">
              <w:r>
                <w:rPr>
                  <w:rStyle w:val="InternetLink"/>
                  <w:rFonts w:ascii="Times New Roman;Times;serif" w:hAnsi="Times New Roman;Times;serif"/>
                  <w:color w:val="000080"/>
                  <w:sz w:val="17"/>
                </w:rPr>
                <w:t>8</w:t>
              </w:r>
            </w:hyperlink>
            <w:r>
              <w:rPr>
                <w:rFonts w:ascii="Times New Roman;Times;serif" w:hAnsi="Times New Roman;Times;serif"/>
                <w:color w:val="000000"/>
                <w:sz w:val="17"/>
              </w:rPr>
              <w:t xml:space="preserve"> for further details.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9803" w:type="dxa"/>
            <w:gridSpan w:val="10"/>
            <w:tcBorders/>
            <w:shd w:fill="F2F2F2" w:val="cle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You will need the 16-digit control number included in your notice, proxy card or voter instruction form in order to vote.</w:t>
            </w:r>
          </w:p>
        </w:tc>
        <w:tc>
          <w:tcPr>
            <w:tcW w:w="217"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803" w:type="dxa"/>
            <w:gridSpan w:val="10"/>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17"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bl>
    <w:p>
      <w:pPr>
        <w:pStyle w:val="TextBody"/>
        <w:bidi w:val="0"/>
        <w:spacing w:before="18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By Order of the Board of Directors, </w:t>
      </w:r>
    </w:p>
    <w:p>
      <w:pPr>
        <w:pStyle w:val="TextBody"/>
        <w:bidi w:val="0"/>
        <w:spacing w:before="335" w:after="283"/>
        <w:ind w:left="0" w:right="0" w:hanging="0"/>
        <w:jc w:val="left"/>
        <w:rPr>
          <w:color w:val="000000"/>
        </w:rPr>
      </w:pPr>
      <w:r>
        <w:rPr>
          <w:color w:val="000000"/>
        </w:rPr>
        <w:drawing>
          <wp:inline distT="0" distB="0" distL="0" distR="0">
            <wp:extent cx="2009775"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09775" cy="4572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1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Scott Faber </w:t>
      </w:r>
    </w:p>
    <w:p>
      <w:pPr>
        <w:pStyle w:val="TextBody"/>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Vice President, Deputy General Counsel and </w:t>
      </w:r>
    </w:p>
    <w:p>
      <w:pPr>
        <w:pStyle w:val="TextBody"/>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Corporate Secretary </w:t>
      </w:r>
    </w:p>
    <w:p>
      <w:pPr>
        <w:pStyle w:val="TextBody"/>
        <w:bidi w:val="0"/>
        <w:spacing w:before="21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July 22, 2026 </w:t>
      </w:r>
    </w:p>
    <w:p>
      <w:pPr>
        <w:pStyle w:val="TextBody"/>
        <w:bidi w:val="0"/>
        <w:spacing w:before="310" w:after="283"/>
        <w:ind w:left="0" w:right="0" w:hanging="0"/>
        <w:jc w:val="left"/>
        <w:rPr>
          <w:color w:val="000000"/>
        </w:rPr>
      </w:pPr>
      <w:r>
        <w:rPr>
          <w:color w:val="000000"/>
        </w:rPr>
        <w:t xml:space="preserve">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D9D9D9" w:val="clear"/>
            <w:vAlign w:val="center"/>
          </w:tcPr>
          <w:p>
            <w:pPr>
              <w:pStyle w:val="TableContents"/>
              <w:bidi w:val="0"/>
              <w:spacing w:before="0" w:after="0"/>
              <w:jc w:val="left"/>
              <w:rPr/>
            </w:pPr>
            <w:r>
              <w:rPr/>
              <w:t> </w:t>
            </w:r>
          </w:p>
        </w:tc>
        <w:tc>
          <w:tcPr>
            <w:tcW w:w="9805"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5"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Important Notice Regarding the Availability of Proxy Materials for the Annual Meeting of Shareholders to be held on September 2, 2026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The Notice of Annual Meeting of Shareholders, the Proxy Statement and Annual Report are available at </w:t>
            </w:r>
            <w:r>
              <w:rPr>
                <w:rFonts w:ascii="Times New Roman;Times;serif" w:hAnsi="Times New Roman;Times;serif"/>
                <w:color w:val="000000"/>
                <w:sz w:val="17"/>
                <w:u w:val="single"/>
              </w:rPr>
              <w:t>http://materials.proxyvote.com/147528</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 w:name="ny20072699x1_def14a_102-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r>
        <w:rPr>
          <w:rFonts w:ascii="Times New Roman;Times;serif" w:hAnsi="Times New Roman;Times;serif"/>
          <w:b/>
          <w:color w:val="000000"/>
          <w:sz w:val="24"/>
          <w:u w:val="single"/>
        </w:rPr>
        <w:t>TABLE OF CONTENTS</w:t>
      </w:r>
      <w:r>
        <w:rPr>
          <w:rFonts w:ascii="Times New Roman;Times;serif" w:hAnsi="Times New Roman;Times;serif"/>
          <w:b/>
          <w:color w:val="000000"/>
          <w:sz w:val="24"/>
        </w:rPr>
        <w:t xml:space="preserve"> </w:t>
      </w:r>
    </w:p>
    <w:p>
      <w:pPr>
        <w:pStyle w:val="TextBody"/>
        <w:bidi w:val="0"/>
        <w:spacing w:before="220" w:after="283"/>
        <w:ind w:left="0" w:right="0" w:hanging="0"/>
        <w:jc w:val="left"/>
        <w:rPr>
          <w:color w:val="000000"/>
        </w:rPr>
      </w:pPr>
      <w:r>
        <w:rPr>
          <w:color w:val="000000"/>
        </w:rPr>
        <w:t xml:space="preserve">  </w:t>
      </w:r>
    </w:p>
    <w:p>
      <w:pPr>
        <w:pStyle w:val="HorizontalLine"/>
        <w:bidi w:val="0"/>
        <w:spacing w:before="200" w:after="200"/>
        <w:jc w:val="left"/>
        <w:rPr/>
      </w:pPr>
      <w:r>
        <w:rPr/>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3175000" cy="9972040"/>
                <wp:effectExtent l="0" t="0" r="0" b="0"/>
                <wp:wrapSquare wrapText="right"/>
                <wp:docPr id="4"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950" w:type="dxa"/>
                              <w:jc w:val="left"/>
                              <w:tblInd w:w="0" w:type="dxa"/>
                              <w:tblLayout w:type="fixed"/>
                              <w:tblCellMar>
                                <w:top w:w="0" w:type="dxa"/>
                                <w:left w:w="0" w:type="dxa"/>
                                <w:bottom w:w="0" w:type="dxa"/>
                                <w:right w:w="0" w:type="dxa"/>
                              </w:tblCellMar>
                            </w:tblPr>
                            <w:tblGrid>
                              <w:gridCol w:w="185"/>
                              <w:gridCol w:w="875"/>
                              <w:gridCol w:w="170"/>
                              <w:gridCol w:w="170"/>
                              <w:gridCol w:w="335"/>
                              <w:gridCol w:w="215"/>
                            </w:tblGrid>
                            <w:tr>
                              <w:trPr/>
                              <w:tc>
                                <w:tcPr>
                                  <w:tcW w:w="185" w:type="dxa"/>
                                  <w:tcBorders/>
                                  <w:shd w:fill="D9D9D9" w:val="clear"/>
                                  <w:vAlign w:val="center"/>
                                </w:tcPr>
                                <w:p>
                                  <w:pPr>
                                    <w:pStyle w:val="TableContents"/>
                                    <w:bidi w:val="0"/>
                                    <w:spacing w:before="0" w:after="0"/>
                                    <w:jc w:val="left"/>
                                    <w:rPr/>
                                  </w:pPr>
                                  <w:r>
                                    <w:rPr/>
                                    <w:t> </w:t>
                                  </w:r>
                                </w:p>
                              </w:tc>
                              <w:tc>
                                <w:tcPr>
                                  <w:tcW w:w="875"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875" w:type="dxa"/>
                                  <w:tcBorders/>
                                  <w:shd w:fill="D9D9D9"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SECTION</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PG.</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875"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Normal"/>
                              <w:bidi w:val="0"/>
                              <w:spacing w:before="0" w:after="0"/>
                              <w:ind w:left="0" w:right="0" w:hanging="0"/>
                              <w:jc w:val="left"/>
                              <w:rPr>
                                <w:sz w:val="4"/>
                                <w:szCs w:val="4"/>
                              </w:rPr>
                            </w:pPr>
                            <w:r>
                              <w:rPr>
                                <w:sz w:val="4"/>
                                <w:szCs w:val="4"/>
                              </w:rPr>
                            </w:r>
                            <w:bookmarkStart w:id="6" w:name="TOC"/>
                            <w:bookmarkStart w:id="7" w:name="TOC"/>
                            <w:bookmarkEnd w:id="7"/>
                          </w:p>
                          <w:tbl>
                            <w:tblPr>
                              <w:tblW w:w="7620" w:type="dxa"/>
                              <w:jc w:val="left"/>
                              <w:tblInd w:w="0" w:type="dxa"/>
                              <w:tblLayout w:type="fixed"/>
                              <w:tblCellMar>
                                <w:top w:w="0" w:type="dxa"/>
                                <w:left w:w="0" w:type="dxa"/>
                                <w:bottom w:w="0" w:type="dxa"/>
                                <w:right w:w="0" w:type="dxa"/>
                              </w:tblCellMar>
                            </w:tblPr>
                            <w:tblGrid>
                              <w:gridCol w:w="185"/>
                              <w:gridCol w:w="6650"/>
                              <w:gridCol w:w="170"/>
                              <w:gridCol w:w="170"/>
                              <w:gridCol w:w="230"/>
                              <w:gridCol w:w="215"/>
                            </w:tblGrid>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35" w:right="0" w:hanging="0"/>
                                    <w:jc w:val="left"/>
                                    <w:rPr/>
                                  </w:pPr>
                                  <w:hyperlink w:anchor="tPSS">
                                    <w:r>
                                      <w:rPr>
                                        <w:rStyle w:val="InternetLink"/>
                                        <w:rFonts w:ascii="Times New Roman;Times;serif" w:hAnsi="Times New Roman;Times;serif"/>
                                        <w:b/>
                                        <w:color w:val="000000"/>
                                        <w:sz w:val="18"/>
                                      </w:rPr>
                                      <w:t>Proxy Statement Summary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PSS">
                                    <w:r>
                                      <w:rPr>
                                        <w:rStyle w:val="InternetLink"/>
                                        <w:rFonts w:ascii="Times New Roman;Times;serif" w:hAnsi="Times New Roman;Times;serif"/>
                                        <w:color w:val="000000"/>
                                        <w:sz w:val="18"/>
                                      </w:rPr>
                                      <w:t>1</w:t>
                                    </w:r>
                                  </w:hyperlink>
                                  <w:hyperlink w:anchor="tPSS">
                                    <w:r>
                                      <w:rPr>
                                        <w:rStyle w:val="InternetLink"/>
                                        <w:rFonts w:ascii="Times New Roman;Times;serif" w:hAnsi="Times New Roman;Times;serif"/>
                                        <w:color w:val="000000"/>
                                        <w:sz w:val="18"/>
                                      </w:rPr>
                                      <w:t xml:space="preserve"> </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FYS">
                                    <w:r>
                                      <w:rPr>
                                        <w:rStyle w:val="InternetLink"/>
                                        <w:rFonts w:ascii="Times New Roman;Times;serif" w:hAnsi="Times New Roman;Times;serif"/>
                                        <w:color w:val="000000"/>
                                        <w:sz w:val="18"/>
                                      </w:rPr>
                                      <w:t>2026 Fiscal Year Summary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FYS">
                                    <w:r>
                                      <w:rPr>
                                        <w:rStyle w:val="InternetLink"/>
                                        <w:rFonts w:ascii="Times New Roman;Times;serif" w:hAnsi="Times New Roman;Times;serif"/>
                                        <w:color w:val="000000"/>
                                        <w:sz w:val="18"/>
                                      </w:rPr>
                                      <w:t>1</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AMD">
                                    <w:r>
                                      <w:rPr>
                                        <w:rStyle w:val="InternetLink"/>
                                        <w:rFonts w:ascii="Times New Roman;Times;serif" w:hAnsi="Times New Roman;Times;serif"/>
                                        <w:color w:val="000000"/>
                                        <w:sz w:val="18"/>
                                      </w:rPr>
                                      <w:t>2026 Annual Meeting Details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AMD">
                                    <w:r>
                                      <w:rPr>
                                        <w:rStyle w:val="InternetLink"/>
                                        <w:rFonts w:ascii="Times New Roman;Times;serif" w:hAnsi="Times New Roman;Times;serif"/>
                                        <w:color w:val="000000"/>
                                        <w:sz w:val="18"/>
                                      </w:rPr>
                                      <w:t>1</w:t>
                                    </w:r>
                                  </w:hyperlink>
                                  <w:hyperlink w:anchor="tAMD">
                                    <w:r>
                                      <w:rPr>
                                        <w:rStyle w:val="InternetLink"/>
                                        <w:rFonts w:ascii="Times New Roman;Times;serif" w:hAnsi="Times New Roman;Times;serif"/>
                                        <w:color w:val="000000"/>
                                        <w:sz w:val="18"/>
                                      </w:rPr>
                                      <w:t xml:space="preserve"> </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VR">
                                    <w:r>
                                      <w:rPr>
                                        <w:rStyle w:val="InternetLink"/>
                                        <w:rFonts w:ascii="Times New Roman;Times;serif" w:hAnsi="Times New Roman;Times;serif"/>
                                        <w:color w:val="000000"/>
                                        <w:sz w:val="18"/>
                                      </w:rPr>
                                      <w:t>Voting Roadmap</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VR">
                                    <w:r>
                                      <w:rPr>
                                        <w:rStyle w:val="InternetLink"/>
                                        <w:rFonts w:ascii="Times New Roman;Times;serif" w:hAnsi="Times New Roman;Times;serif"/>
                                        <w:color w:val="000000"/>
                                        <w:sz w:val="18"/>
                                      </w:rPr>
                                      <w:t>2</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35" w:right="0" w:hanging="0"/>
                                    <w:jc w:val="left"/>
                                    <w:rPr/>
                                  </w:pPr>
                                  <w:hyperlink w:anchor="tAMF">
                                    <w:r>
                                      <w:rPr>
                                        <w:rStyle w:val="InternetLink"/>
                                        <w:rFonts w:ascii="Times New Roman;Times;serif" w:hAnsi="Times New Roman;Times;serif"/>
                                        <w:b/>
                                        <w:color w:val="000000"/>
                                        <w:sz w:val="18"/>
                                      </w:rPr>
                                      <w:t>Annual Meeting FAQs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AMF">
                                    <w:r>
                                      <w:rPr>
                                        <w:rStyle w:val="InternetLink"/>
                                        <w:rFonts w:ascii="Times New Roman;Times;serif" w:hAnsi="Times New Roman;Times;serif"/>
                                        <w:color w:val="000000"/>
                                        <w:sz w:val="18"/>
                                      </w:rPr>
                                      <w:t>5</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35" w:right="0" w:hanging="0"/>
                                    <w:jc w:val="left"/>
                                    <w:rPr/>
                                  </w:pPr>
                                  <w:hyperlink w:anchor="tP1">
                                    <w:r>
                                      <w:rPr>
                                        <w:rStyle w:val="InternetLink"/>
                                        <w:rFonts w:ascii="Times New Roman;Times;serif" w:hAnsi="Times New Roman;Times;serif"/>
                                        <w:b/>
                                        <w:color w:val="000000"/>
                                        <w:sz w:val="18"/>
                                      </w:rPr>
                                      <w:t>Proposal 1: 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P1">
                                    <w:r>
                                      <w:rPr>
                                        <w:rStyle w:val="InternetLink"/>
                                        <w:rFonts w:ascii="Times New Roman;Times;serif" w:hAnsi="Times New Roman;Times;serif"/>
                                        <w:color w:val="000000"/>
                                        <w:sz w:val="18"/>
                                      </w:rPr>
                                      <w:t>9</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DNS">
                                    <w:r>
                                      <w:rPr>
                                        <w:rStyle w:val="InternetLink"/>
                                        <w:rFonts w:ascii="Times New Roman;Times;serif" w:hAnsi="Times New Roman;Times;serif"/>
                                        <w:color w:val="000000"/>
                                        <w:sz w:val="18"/>
                                      </w:rPr>
                                      <w:t>Director Nominee Selection Process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DNS">
                                    <w:r>
                                      <w:rPr>
                                        <w:rStyle w:val="InternetLink"/>
                                        <w:rFonts w:ascii="Times New Roman;Times;serif" w:hAnsi="Times New Roman;Times;serif"/>
                                        <w:color w:val="000000"/>
                                        <w:sz w:val="18"/>
                                      </w:rPr>
                                      <w:t>9</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BS">
                                    <w:r>
                                      <w:rPr>
                                        <w:rStyle w:val="InternetLink"/>
                                        <w:rFonts w:ascii="Times New Roman;Times;serif" w:hAnsi="Times New Roman;Times;serif"/>
                                        <w:color w:val="000000"/>
                                        <w:sz w:val="18"/>
                                      </w:rPr>
                                      <w:t>Board Structure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BS">
                                    <w:r>
                                      <w:rPr>
                                        <w:rStyle w:val="InternetLink"/>
                                        <w:rFonts w:ascii="Times New Roman;Times;serif" w:hAnsi="Times New Roman;Times;serif"/>
                                        <w:color w:val="000000"/>
                                        <w:sz w:val="18"/>
                                      </w:rPr>
                                      <w:t>10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BL">
                                    <w:r>
                                      <w:rPr>
                                        <w:rStyle w:val="InternetLink"/>
                                        <w:rFonts w:ascii="Times New Roman;Times;serif" w:hAnsi="Times New Roman;Times;serif"/>
                                        <w:color w:val="000000"/>
                                        <w:sz w:val="18"/>
                                      </w:rPr>
                                      <w:t>Board Leadership</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BL">
                                    <w:r>
                                      <w:rPr>
                                        <w:rStyle w:val="InternetLink"/>
                                        <w:rFonts w:ascii="Times New Roman;Times;serif" w:hAnsi="Times New Roman;Times;serif"/>
                                        <w:color w:val="000000"/>
                                        <w:sz w:val="18"/>
                                      </w:rPr>
                                      <w:t>10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NEA">
                                    <w:r>
                                      <w:rPr>
                                        <w:rStyle w:val="InternetLink"/>
                                        <w:rFonts w:ascii="Times New Roman;Times;serif" w:hAnsi="Times New Roman;Times;serif"/>
                                        <w:color w:val="000000"/>
                                        <w:sz w:val="18"/>
                                      </w:rPr>
                                      <w:t>Nominees for Election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NEA">
                                    <w:r>
                                      <w:rPr>
                                        <w:rStyle w:val="InternetLink"/>
                                        <w:rFonts w:ascii="Times New Roman;Times;serif" w:hAnsi="Times New Roman;Times;serif"/>
                                        <w:color w:val="000000"/>
                                        <w:sz w:val="18"/>
                                      </w:rPr>
                                      <w:t>11</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35" w:right="0" w:hanging="0"/>
                                    <w:jc w:val="left"/>
                                    <w:rPr/>
                                  </w:pPr>
                                  <w:hyperlink w:anchor="tGC">
                                    <w:r>
                                      <w:rPr>
                                        <w:rStyle w:val="InternetLink"/>
                                        <w:rFonts w:ascii="Times New Roman;Times;serif" w:hAnsi="Times New Roman;Times;serif"/>
                                        <w:b/>
                                        <w:color w:val="000000"/>
                                        <w:sz w:val="18"/>
                                      </w:rPr>
                                      <w:t>Governance of the Company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GC">
                                    <w:r>
                                      <w:rPr>
                                        <w:rStyle w:val="InternetLink"/>
                                        <w:rFonts w:ascii="Times New Roman;Times;serif" w:hAnsi="Times New Roman;Times;serif"/>
                                        <w:color w:val="000000"/>
                                        <w:sz w:val="18"/>
                                      </w:rPr>
                                      <w:t>17</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BC">
                                    <w:r>
                                      <w:rPr>
                                        <w:rStyle w:val="InternetLink"/>
                                        <w:rFonts w:ascii="Times New Roman;Times;serif" w:hAnsi="Times New Roman;Times;serif"/>
                                        <w:color w:val="000000"/>
                                        <w:sz w:val="18"/>
                                      </w:rPr>
                                      <w:t>Board Composition – Director Nominees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BC">
                                    <w:r>
                                      <w:rPr>
                                        <w:rStyle w:val="InternetLink"/>
                                        <w:rFonts w:ascii="Times New Roman;Times;serif" w:hAnsi="Times New Roman;Times;serif"/>
                                        <w:color w:val="000000"/>
                                        <w:sz w:val="18"/>
                                      </w:rPr>
                                      <w:t>17</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SR">
                                    <w:r>
                                      <w:rPr>
                                        <w:rStyle w:val="InternetLink"/>
                                        <w:rFonts w:ascii="Times New Roman;Times;serif" w:hAnsi="Times New Roman;Times;serif"/>
                                        <w:color w:val="000000"/>
                                        <w:sz w:val="18"/>
                                      </w:rPr>
                                      <w:t>Shareholder Rights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SR">
                                    <w:r>
                                      <w:rPr>
                                        <w:rStyle w:val="InternetLink"/>
                                        <w:rFonts w:ascii="Times New Roman;Times;serif" w:hAnsi="Times New Roman;Times;serif"/>
                                        <w:color w:val="000000"/>
                                        <w:sz w:val="18"/>
                                      </w:rPr>
                                      <w:t>18</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AC">
                                    <w:r>
                                      <w:rPr>
                                        <w:rStyle w:val="InternetLink"/>
                                        <w:rFonts w:ascii="Times New Roman;Times;serif" w:hAnsi="Times New Roman;Times;serif"/>
                                        <w:color w:val="000000"/>
                                        <w:sz w:val="18"/>
                                      </w:rPr>
                                      <w:t>Accountability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AC">
                                    <w:r>
                                      <w:rPr>
                                        <w:rStyle w:val="InternetLink"/>
                                        <w:rFonts w:ascii="Times New Roman;Times;serif" w:hAnsi="Times New Roman;Times;serif"/>
                                        <w:color w:val="000000"/>
                                        <w:sz w:val="18"/>
                                      </w:rPr>
                                      <w:t>18</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BP">
                                    <w:r>
                                      <w:rPr>
                                        <w:rStyle w:val="InternetLink"/>
                                        <w:rFonts w:ascii="Times New Roman;Times;serif" w:hAnsi="Times New Roman;Times;serif"/>
                                        <w:color w:val="000000"/>
                                        <w:sz w:val="18"/>
                                      </w:rPr>
                                      <w:t>Board Practices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BP">
                                    <w:r>
                                      <w:rPr>
                                        <w:rStyle w:val="InternetLink"/>
                                        <w:rFonts w:ascii="Times New Roman;Times;serif" w:hAnsi="Times New Roman;Times;serif"/>
                                        <w:color w:val="000000"/>
                                        <w:sz w:val="18"/>
                                      </w:rPr>
                                      <w:t>19</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SE">
                                    <w:r>
                                      <w:rPr>
                                        <w:rStyle w:val="InternetLink"/>
                                        <w:rFonts w:ascii="Times New Roman;Times;serif" w:hAnsi="Times New Roman;Times;serif"/>
                                        <w:color w:val="000000"/>
                                        <w:sz w:val="18"/>
                                      </w:rPr>
                                      <w:t>Shareholder Engagement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SE">
                                    <w:r>
                                      <w:rPr>
                                        <w:rStyle w:val="InternetLink"/>
                                        <w:rFonts w:ascii="Times New Roman;Times;serif" w:hAnsi="Times New Roman;Times;serif"/>
                                        <w:color w:val="000000"/>
                                        <w:sz w:val="18"/>
                                      </w:rPr>
                                      <w:t>19</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35" w:right="0" w:hanging="0"/>
                                    <w:jc w:val="left"/>
                                    <w:rPr/>
                                  </w:pPr>
                                  <w:hyperlink w:anchor="tBDC">
                                    <w:r>
                                      <w:rPr>
                                        <w:rStyle w:val="InternetLink"/>
                                        <w:rFonts w:ascii="Times New Roman;Times;serif" w:hAnsi="Times New Roman;Times;serif"/>
                                        <w:b/>
                                        <w:color w:val="000000"/>
                                        <w:sz w:val="18"/>
                                      </w:rPr>
                                      <w:t>The Board of Directors and Its Committees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BDC">
                                    <w:r>
                                      <w:rPr>
                                        <w:rStyle w:val="InternetLink"/>
                                        <w:rFonts w:ascii="Times New Roman;Times;serif" w:hAnsi="Times New Roman;Times;serif"/>
                                        <w:color w:val="000000"/>
                                        <w:sz w:val="18"/>
                                      </w:rPr>
                                      <w:t>20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DI">
                                    <w:r>
                                      <w:rPr>
                                        <w:rStyle w:val="InternetLink"/>
                                        <w:rFonts w:ascii="Times New Roman;Times;serif" w:hAnsi="Times New Roman;Times;serif"/>
                                        <w:color w:val="000000"/>
                                        <w:sz w:val="18"/>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DI">
                                    <w:r>
                                      <w:rPr>
                                        <w:rStyle w:val="InternetLink"/>
                                        <w:rFonts w:ascii="Times New Roman;Times;serif" w:hAnsi="Times New Roman;Times;serif"/>
                                        <w:color w:val="000000"/>
                                        <w:sz w:val="18"/>
                                      </w:rPr>
                                      <w:t>20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BOC">
                                    <w:r>
                                      <w:rPr>
                                        <w:rStyle w:val="InternetLink"/>
                                        <w:rFonts w:ascii="Times New Roman;Times;serif" w:hAnsi="Times New Roman;Times;serif"/>
                                        <w:color w:val="000000"/>
                                        <w:sz w:val="18"/>
                                      </w:rPr>
                                      <w:t>Board Committees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BOC">
                                    <w:r>
                                      <w:rPr>
                                        <w:rStyle w:val="InternetLink"/>
                                        <w:rFonts w:ascii="Times New Roman;Times;serif" w:hAnsi="Times New Roman;Times;serif"/>
                                        <w:color w:val="000000"/>
                                        <w:sz w:val="18"/>
                                      </w:rPr>
                                      <w:t>20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BRR">
                                    <w:r>
                                      <w:rPr>
                                        <w:rStyle w:val="InternetLink"/>
                                        <w:rFonts w:ascii="Times New Roman;Times;serif" w:hAnsi="Times New Roman;Times;serif"/>
                                        <w:color w:val="000000"/>
                                        <w:sz w:val="18"/>
                                      </w:rPr>
                                      <w:t>The Board’s Role in 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BRR">
                                    <w:r>
                                      <w:rPr>
                                        <w:rStyle w:val="InternetLink"/>
                                        <w:rFonts w:ascii="Times New Roman;Times;serif" w:hAnsi="Times New Roman;Times;serif"/>
                                        <w:color w:val="000000"/>
                                        <w:sz w:val="18"/>
                                      </w:rPr>
                                      <w:t>23</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SHC">
                                    <w:r>
                                      <w:rPr>
                                        <w:rStyle w:val="InternetLink"/>
                                        <w:rFonts w:ascii="Times New Roman;Times;serif" w:hAnsi="Times New Roman;Times;serif"/>
                                        <w:color w:val="000000"/>
                                        <w:sz w:val="18"/>
                                      </w:rPr>
                                      <w:t>Shareholder Communications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SHC">
                                    <w:r>
                                      <w:rPr>
                                        <w:rStyle w:val="InternetLink"/>
                                        <w:rFonts w:ascii="Times New Roman;Times;serif" w:hAnsi="Times New Roman;Times;serif"/>
                                        <w:color w:val="000000"/>
                                        <w:sz w:val="18"/>
                                      </w:rPr>
                                      <w:t>23</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35" w:right="0" w:hanging="0"/>
                                    <w:jc w:val="left"/>
                                    <w:rPr/>
                                  </w:pPr>
                                  <w:hyperlink w:anchor="tIAO">
                                    <w:r>
                                      <w:rPr>
                                        <w:rStyle w:val="InternetLink"/>
                                        <w:rFonts w:ascii="Times New Roman;Times;serif" w:hAnsi="Times New Roman;Times;serif"/>
                                        <w:b/>
                                        <w:color w:val="000000"/>
                                        <w:sz w:val="18"/>
                                      </w:rPr>
                                      <w:t>Information About Our 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IAO">
                                    <w:r>
                                      <w:rPr>
                                        <w:rStyle w:val="InternetLink"/>
                                        <w:rFonts w:ascii="Times New Roman;Times;serif" w:hAnsi="Times New Roman;Times;serif"/>
                                        <w:color w:val="000000"/>
                                        <w:sz w:val="18"/>
                                      </w:rPr>
                                      <w:t>24</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35" w:right="0" w:hanging="0"/>
                                    <w:jc w:val="left"/>
                                    <w:rPr/>
                                  </w:pPr>
                                  <w:hyperlink w:anchor="tPRS">
                                    <w:r>
                                      <w:rPr>
                                        <w:rStyle w:val="InternetLink"/>
                                        <w:rFonts w:ascii="Times New Roman;Times;serif" w:hAnsi="Times New Roman;Times;serif"/>
                                        <w:b/>
                                        <w:color w:val="000000"/>
                                        <w:sz w:val="18"/>
                                      </w:rPr>
                                      <w:t>Principal Shareholders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PRS">
                                    <w:r>
                                      <w:rPr>
                                        <w:rStyle w:val="InternetLink"/>
                                        <w:rFonts w:ascii="Times New Roman;Times;serif" w:hAnsi="Times New Roman;Times;serif"/>
                                        <w:color w:val="000000"/>
                                        <w:sz w:val="18"/>
                                      </w:rPr>
                                      <w:t>25</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35" w:right="0" w:hanging="0"/>
                                    <w:jc w:val="left"/>
                                    <w:rPr/>
                                  </w:pPr>
                                  <w:hyperlink w:anchor="tBOS">
                                    <w:r>
                                      <w:rPr>
                                        <w:rStyle w:val="InternetLink"/>
                                        <w:rFonts w:ascii="Times New Roman;Times;serif" w:hAnsi="Times New Roman;Times;serif"/>
                                        <w:b/>
                                        <w:color w:val="000000"/>
                                        <w:sz w:val="18"/>
                                      </w:rPr>
                                      <w:t>Beneficial Ownership of Shares of Common Stock by Directors and 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BOS">
                                    <w:r>
                                      <w:rPr>
                                        <w:rStyle w:val="InternetLink"/>
                                        <w:rFonts w:ascii="Times New Roman;Times;serif" w:hAnsi="Times New Roman;Times;serif"/>
                                        <w:color w:val="000000"/>
                                        <w:sz w:val="18"/>
                                      </w:rPr>
                                      <w:t>26</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35" w:right="0" w:hanging="0"/>
                                    <w:jc w:val="left"/>
                                    <w:rPr/>
                                  </w:pPr>
                                  <w:hyperlink w:anchor="tCDA">
                                    <w:r>
                                      <w:rPr>
                                        <w:rStyle w:val="InternetLink"/>
                                        <w:rFonts w:ascii="Times New Roman;Times;serif" w:hAnsi="Times New Roman;Times;serif"/>
                                        <w:b/>
                                        <w:color w:val="000000"/>
                                        <w:sz w:val="18"/>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CDA">
                                    <w:r>
                                      <w:rPr>
                                        <w:rStyle w:val="InternetLink"/>
                                        <w:rFonts w:ascii="Times New Roman;Times;serif" w:hAnsi="Times New Roman;Times;serif"/>
                                        <w:color w:val="000000"/>
                                        <w:sz w:val="18"/>
                                      </w:rPr>
                                      <w:t>27</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ESUM">
                                    <w:r>
                                      <w:rPr>
                                        <w:rStyle w:val="InternetLink"/>
                                        <w:rFonts w:ascii="Times New Roman;Times;serif" w:hAnsi="Times New Roman;Times;serif"/>
                                        <w:color w:val="000000"/>
                                        <w:sz w:val="18"/>
                                      </w:rPr>
                                      <w:t>Executive Summary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ESUM">
                                    <w:r>
                                      <w:rPr>
                                        <w:rStyle w:val="InternetLink"/>
                                        <w:rFonts w:ascii="Times New Roman;Times;serif" w:hAnsi="Times New Roman;Times;serif"/>
                                        <w:color w:val="000000"/>
                                        <w:sz w:val="18"/>
                                      </w:rPr>
                                      <w:t>27</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CP">
                                    <w:r>
                                      <w:rPr>
                                        <w:rStyle w:val="InternetLink"/>
                                        <w:rFonts w:ascii="Times New Roman;Times;serif" w:hAnsi="Times New Roman;Times;serif"/>
                                        <w:color w:val="000000"/>
                                        <w:sz w:val="18"/>
                                      </w:rPr>
                                      <w:t>Executive Compensation Philosophy and Best Practices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CP">
                                    <w:r>
                                      <w:rPr>
                                        <w:rStyle w:val="InternetLink"/>
                                        <w:rFonts w:ascii="Times New Roman;Times;serif" w:hAnsi="Times New Roman;Times;serif"/>
                                        <w:color w:val="000000"/>
                                        <w:sz w:val="18"/>
                                      </w:rPr>
                                      <w:t>29</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PDE">
                                    <w:r>
                                      <w:rPr>
                                        <w:rStyle w:val="InternetLink"/>
                                        <w:rFonts w:ascii="Times New Roman;Times;serif" w:hAnsi="Times New Roman;Times;serif"/>
                                        <w:color w:val="000000"/>
                                        <w:sz w:val="18"/>
                                      </w:rPr>
                                      <w:t>Executive Compensation Process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PDE">
                                    <w:r>
                                      <w:rPr>
                                        <w:rStyle w:val="InternetLink"/>
                                        <w:rFonts w:ascii="Times New Roman;Times;serif" w:hAnsi="Times New Roman;Times;serif"/>
                                        <w:color w:val="000000"/>
                                        <w:sz w:val="18"/>
                                      </w:rPr>
                                      <w:t>30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CPE">
                                    <w:r>
                                      <w:rPr>
                                        <w:rStyle w:val="InternetLink"/>
                                        <w:rFonts w:ascii="Times New Roman;Times;serif" w:hAnsi="Times New Roman;Times;serif"/>
                                        <w:color w:val="000000"/>
                                        <w:sz w:val="18"/>
                                      </w:rPr>
                                      <w:t>Compensation Program Elements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CPE">
                                    <w:r>
                                      <w:rPr>
                                        <w:rStyle w:val="InternetLink"/>
                                        <w:rFonts w:ascii="Times New Roman;Times;serif" w:hAnsi="Times New Roman;Times;serif"/>
                                        <w:color w:val="000000"/>
                                        <w:sz w:val="18"/>
                                      </w:rPr>
                                      <w:t>33</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OCPP">
                                    <w:r>
                                      <w:rPr>
                                        <w:rStyle w:val="InternetLink"/>
                                        <w:rFonts w:ascii="Times New Roman;Times;serif" w:hAnsi="Times New Roman;Times;serif"/>
                                        <w:color w:val="000000"/>
                                        <w:sz w:val="18"/>
                                      </w:rPr>
                                      <w:t>Other Compensation Programs and Policies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OCPP">
                                    <w:r>
                                      <w:rPr>
                                        <w:rStyle w:val="InternetLink"/>
                                        <w:rFonts w:ascii="Times New Roman;Times;serif" w:hAnsi="Times New Roman;Times;serif"/>
                                        <w:color w:val="000000"/>
                                        <w:sz w:val="18"/>
                                      </w:rPr>
                                      <w:t>41</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TAX">
                                    <w:r>
                                      <w:rPr>
                                        <w:rStyle w:val="InternetLink"/>
                                        <w:rFonts w:ascii="Times New Roman;Times;serif" w:hAnsi="Times New Roman;Times;serif"/>
                                        <w:color w:val="000000"/>
                                        <w:sz w:val="18"/>
                                      </w:rPr>
                                      <w:t>Tax Treatment of Certain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TAX">
                                    <w:r>
                                      <w:rPr>
                                        <w:rStyle w:val="InternetLink"/>
                                        <w:rFonts w:ascii="Times New Roman;Times;serif" w:hAnsi="Times New Roman;Times;serif"/>
                                        <w:color w:val="000000"/>
                                        <w:sz w:val="18"/>
                                      </w:rPr>
                                      <w:t>42</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REC">
                                    <w:r>
                                      <w:rPr>
                                        <w:rStyle w:val="InternetLink"/>
                                        <w:rFonts w:ascii="Times New Roman;Times;serif" w:hAnsi="Times New Roman;Times;serif"/>
                                        <w:color w:val="000000"/>
                                        <w:sz w:val="18"/>
                                      </w:rPr>
                                      <w:t>Recent Executive Compensation Decisions for the 2027 Fiscal Year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REC">
                                    <w:r>
                                      <w:rPr>
                                        <w:rStyle w:val="InternetLink"/>
                                        <w:rFonts w:ascii="Times New Roman;Times;serif" w:hAnsi="Times New Roman;Times;serif"/>
                                        <w:color w:val="000000"/>
                                        <w:sz w:val="18"/>
                                      </w:rPr>
                                      <w:t>42</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1950" w:type="dxa"/>
                        <w:jc w:val="left"/>
                        <w:tblInd w:w="0" w:type="dxa"/>
                        <w:tblLayout w:type="fixed"/>
                        <w:tblCellMar>
                          <w:top w:w="0" w:type="dxa"/>
                          <w:left w:w="0" w:type="dxa"/>
                          <w:bottom w:w="0" w:type="dxa"/>
                          <w:right w:w="0" w:type="dxa"/>
                        </w:tblCellMar>
                      </w:tblPr>
                      <w:tblGrid>
                        <w:gridCol w:w="185"/>
                        <w:gridCol w:w="875"/>
                        <w:gridCol w:w="170"/>
                        <w:gridCol w:w="170"/>
                        <w:gridCol w:w="335"/>
                        <w:gridCol w:w="215"/>
                      </w:tblGrid>
                      <w:tr>
                        <w:trPr/>
                        <w:tc>
                          <w:tcPr>
                            <w:tcW w:w="185" w:type="dxa"/>
                            <w:tcBorders/>
                            <w:shd w:fill="D9D9D9" w:val="clear"/>
                            <w:vAlign w:val="center"/>
                          </w:tcPr>
                          <w:p>
                            <w:pPr>
                              <w:pStyle w:val="TableContents"/>
                              <w:bidi w:val="0"/>
                              <w:spacing w:before="0" w:after="0"/>
                              <w:jc w:val="left"/>
                              <w:rPr/>
                            </w:pPr>
                            <w:r>
                              <w:rPr/>
                              <w:t> </w:t>
                            </w:r>
                          </w:p>
                        </w:tc>
                        <w:tc>
                          <w:tcPr>
                            <w:tcW w:w="875"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875" w:type="dxa"/>
                            <w:tcBorders/>
                            <w:shd w:fill="D9D9D9"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SECTION</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PG.</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875"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Normal"/>
                        <w:bidi w:val="0"/>
                        <w:spacing w:before="0" w:after="0"/>
                        <w:ind w:left="0" w:right="0" w:hanging="0"/>
                        <w:jc w:val="left"/>
                        <w:rPr>
                          <w:sz w:val="4"/>
                          <w:szCs w:val="4"/>
                        </w:rPr>
                      </w:pPr>
                      <w:r>
                        <w:rPr>
                          <w:sz w:val="4"/>
                          <w:szCs w:val="4"/>
                        </w:rPr>
                      </w:r>
                      <w:bookmarkStart w:id="8" w:name="TOC"/>
                      <w:bookmarkStart w:id="9" w:name="TOC"/>
                      <w:bookmarkEnd w:id="9"/>
                    </w:p>
                    <w:tbl>
                      <w:tblPr>
                        <w:tblW w:w="7620" w:type="dxa"/>
                        <w:jc w:val="left"/>
                        <w:tblInd w:w="0" w:type="dxa"/>
                        <w:tblLayout w:type="fixed"/>
                        <w:tblCellMar>
                          <w:top w:w="0" w:type="dxa"/>
                          <w:left w:w="0" w:type="dxa"/>
                          <w:bottom w:w="0" w:type="dxa"/>
                          <w:right w:w="0" w:type="dxa"/>
                        </w:tblCellMar>
                      </w:tblPr>
                      <w:tblGrid>
                        <w:gridCol w:w="185"/>
                        <w:gridCol w:w="6650"/>
                        <w:gridCol w:w="170"/>
                        <w:gridCol w:w="170"/>
                        <w:gridCol w:w="230"/>
                        <w:gridCol w:w="215"/>
                      </w:tblGrid>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35" w:right="0" w:hanging="0"/>
                              <w:jc w:val="left"/>
                              <w:rPr/>
                            </w:pPr>
                            <w:hyperlink w:anchor="tPSS">
                              <w:r>
                                <w:rPr>
                                  <w:rStyle w:val="InternetLink"/>
                                  <w:rFonts w:ascii="Times New Roman;Times;serif" w:hAnsi="Times New Roman;Times;serif"/>
                                  <w:b/>
                                  <w:color w:val="000000"/>
                                  <w:sz w:val="18"/>
                                </w:rPr>
                                <w:t>Proxy Statement Summary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PSS">
                              <w:r>
                                <w:rPr>
                                  <w:rStyle w:val="InternetLink"/>
                                  <w:rFonts w:ascii="Times New Roman;Times;serif" w:hAnsi="Times New Roman;Times;serif"/>
                                  <w:color w:val="000000"/>
                                  <w:sz w:val="18"/>
                                </w:rPr>
                                <w:t>1</w:t>
                              </w:r>
                            </w:hyperlink>
                            <w:hyperlink w:anchor="tPSS">
                              <w:r>
                                <w:rPr>
                                  <w:rStyle w:val="InternetLink"/>
                                  <w:rFonts w:ascii="Times New Roman;Times;serif" w:hAnsi="Times New Roman;Times;serif"/>
                                  <w:color w:val="000000"/>
                                  <w:sz w:val="18"/>
                                </w:rPr>
                                <w:t xml:space="preserve"> </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FYS">
                              <w:r>
                                <w:rPr>
                                  <w:rStyle w:val="InternetLink"/>
                                  <w:rFonts w:ascii="Times New Roman;Times;serif" w:hAnsi="Times New Roman;Times;serif"/>
                                  <w:color w:val="000000"/>
                                  <w:sz w:val="18"/>
                                </w:rPr>
                                <w:t>2026 Fiscal Year Summary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FYS">
                              <w:r>
                                <w:rPr>
                                  <w:rStyle w:val="InternetLink"/>
                                  <w:rFonts w:ascii="Times New Roman;Times;serif" w:hAnsi="Times New Roman;Times;serif"/>
                                  <w:color w:val="000000"/>
                                  <w:sz w:val="18"/>
                                </w:rPr>
                                <w:t>1</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AMD">
                              <w:r>
                                <w:rPr>
                                  <w:rStyle w:val="InternetLink"/>
                                  <w:rFonts w:ascii="Times New Roman;Times;serif" w:hAnsi="Times New Roman;Times;serif"/>
                                  <w:color w:val="000000"/>
                                  <w:sz w:val="18"/>
                                </w:rPr>
                                <w:t>2026 Annual Meeting Details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AMD">
                              <w:r>
                                <w:rPr>
                                  <w:rStyle w:val="InternetLink"/>
                                  <w:rFonts w:ascii="Times New Roman;Times;serif" w:hAnsi="Times New Roman;Times;serif"/>
                                  <w:color w:val="000000"/>
                                  <w:sz w:val="18"/>
                                </w:rPr>
                                <w:t>1</w:t>
                              </w:r>
                            </w:hyperlink>
                            <w:hyperlink w:anchor="tAMD">
                              <w:r>
                                <w:rPr>
                                  <w:rStyle w:val="InternetLink"/>
                                  <w:rFonts w:ascii="Times New Roman;Times;serif" w:hAnsi="Times New Roman;Times;serif"/>
                                  <w:color w:val="000000"/>
                                  <w:sz w:val="18"/>
                                </w:rPr>
                                <w:t xml:space="preserve"> </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VR">
                              <w:r>
                                <w:rPr>
                                  <w:rStyle w:val="InternetLink"/>
                                  <w:rFonts w:ascii="Times New Roman;Times;serif" w:hAnsi="Times New Roman;Times;serif"/>
                                  <w:color w:val="000000"/>
                                  <w:sz w:val="18"/>
                                </w:rPr>
                                <w:t>Voting Roadmap</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VR">
                              <w:r>
                                <w:rPr>
                                  <w:rStyle w:val="InternetLink"/>
                                  <w:rFonts w:ascii="Times New Roman;Times;serif" w:hAnsi="Times New Roman;Times;serif"/>
                                  <w:color w:val="000000"/>
                                  <w:sz w:val="18"/>
                                </w:rPr>
                                <w:t>2</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35" w:right="0" w:hanging="0"/>
                              <w:jc w:val="left"/>
                              <w:rPr/>
                            </w:pPr>
                            <w:hyperlink w:anchor="tAMF">
                              <w:r>
                                <w:rPr>
                                  <w:rStyle w:val="InternetLink"/>
                                  <w:rFonts w:ascii="Times New Roman;Times;serif" w:hAnsi="Times New Roman;Times;serif"/>
                                  <w:b/>
                                  <w:color w:val="000000"/>
                                  <w:sz w:val="18"/>
                                </w:rPr>
                                <w:t>Annual Meeting FAQs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AMF">
                              <w:r>
                                <w:rPr>
                                  <w:rStyle w:val="InternetLink"/>
                                  <w:rFonts w:ascii="Times New Roman;Times;serif" w:hAnsi="Times New Roman;Times;serif"/>
                                  <w:color w:val="000000"/>
                                  <w:sz w:val="18"/>
                                </w:rPr>
                                <w:t>5</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35" w:right="0" w:hanging="0"/>
                              <w:jc w:val="left"/>
                              <w:rPr/>
                            </w:pPr>
                            <w:hyperlink w:anchor="tP1">
                              <w:r>
                                <w:rPr>
                                  <w:rStyle w:val="InternetLink"/>
                                  <w:rFonts w:ascii="Times New Roman;Times;serif" w:hAnsi="Times New Roman;Times;serif"/>
                                  <w:b/>
                                  <w:color w:val="000000"/>
                                  <w:sz w:val="18"/>
                                </w:rPr>
                                <w:t>Proposal 1: 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P1">
                              <w:r>
                                <w:rPr>
                                  <w:rStyle w:val="InternetLink"/>
                                  <w:rFonts w:ascii="Times New Roman;Times;serif" w:hAnsi="Times New Roman;Times;serif"/>
                                  <w:color w:val="000000"/>
                                  <w:sz w:val="18"/>
                                </w:rPr>
                                <w:t>9</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DNS">
                              <w:r>
                                <w:rPr>
                                  <w:rStyle w:val="InternetLink"/>
                                  <w:rFonts w:ascii="Times New Roman;Times;serif" w:hAnsi="Times New Roman;Times;serif"/>
                                  <w:color w:val="000000"/>
                                  <w:sz w:val="18"/>
                                </w:rPr>
                                <w:t>Director Nominee Selection Process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DNS">
                              <w:r>
                                <w:rPr>
                                  <w:rStyle w:val="InternetLink"/>
                                  <w:rFonts w:ascii="Times New Roman;Times;serif" w:hAnsi="Times New Roman;Times;serif"/>
                                  <w:color w:val="000000"/>
                                  <w:sz w:val="18"/>
                                </w:rPr>
                                <w:t>9</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BS">
                              <w:r>
                                <w:rPr>
                                  <w:rStyle w:val="InternetLink"/>
                                  <w:rFonts w:ascii="Times New Roman;Times;serif" w:hAnsi="Times New Roman;Times;serif"/>
                                  <w:color w:val="000000"/>
                                  <w:sz w:val="18"/>
                                </w:rPr>
                                <w:t>Board Structure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BS">
                              <w:r>
                                <w:rPr>
                                  <w:rStyle w:val="InternetLink"/>
                                  <w:rFonts w:ascii="Times New Roman;Times;serif" w:hAnsi="Times New Roman;Times;serif"/>
                                  <w:color w:val="000000"/>
                                  <w:sz w:val="18"/>
                                </w:rPr>
                                <w:t>10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BL">
                              <w:r>
                                <w:rPr>
                                  <w:rStyle w:val="InternetLink"/>
                                  <w:rFonts w:ascii="Times New Roman;Times;serif" w:hAnsi="Times New Roman;Times;serif"/>
                                  <w:color w:val="000000"/>
                                  <w:sz w:val="18"/>
                                </w:rPr>
                                <w:t>Board Leadership</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BL">
                              <w:r>
                                <w:rPr>
                                  <w:rStyle w:val="InternetLink"/>
                                  <w:rFonts w:ascii="Times New Roman;Times;serif" w:hAnsi="Times New Roman;Times;serif"/>
                                  <w:color w:val="000000"/>
                                  <w:sz w:val="18"/>
                                </w:rPr>
                                <w:t>10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NEA">
                              <w:r>
                                <w:rPr>
                                  <w:rStyle w:val="InternetLink"/>
                                  <w:rFonts w:ascii="Times New Roman;Times;serif" w:hAnsi="Times New Roman;Times;serif"/>
                                  <w:color w:val="000000"/>
                                  <w:sz w:val="18"/>
                                </w:rPr>
                                <w:t>Nominees for Election at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NEA">
                              <w:r>
                                <w:rPr>
                                  <w:rStyle w:val="InternetLink"/>
                                  <w:rFonts w:ascii="Times New Roman;Times;serif" w:hAnsi="Times New Roman;Times;serif"/>
                                  <w:color w:val="000000"/>
                                  <w:sz w:val="18"/>
                                </w:rPr>
                                <w:t>11</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35" w:right="0" w:hanging="0"/>
                              <w:jc w:val="left"/>
                              <w:rPr/>
                            </w:pPr>
                            <w:hyperlink w:anchor="tGC">
                              <w:r>
                                <w:rPr>
                                  <w:rStyle w:val="InternetLink"/>
                                  <w:rFonts w:ascii="Times New Roman;Times;serif" w:hAnsi="Times New Roman;Times;serif"/>
                                  <w:b/>
                                  <w:color w:val="000000"/>
                                  <w:sz w:val="18"/>
                                </w:rPr>
                                <w:t>Governance of the Company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GC">
                              <w:r>
                                <w:rPr>
                                  <w:rStyle w:val="InternetLink"/>
                                  <w:rFonts w:ascii="Times New Roman;Times;serif" w:hAnsi="Times New Roman;Times;serif"/>
                                  <w:color w:val="000000"/>
                                  <w:sz w:val="18"/>
                                </w:rPr>
                                <w:t>17</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BC">
                              <w:r>
                                <w:rPr>
                                  <w:rStyle w:val="InternetLink"/>
                                  <w:rFonts w:ascii="Times New Roman;Times;serif" w:hAnsi="Times New Roman;Times;serif"/>
                                  <w:color w:val="000000"/>
                                  <w:sz w:val="18"/>
                                </w:rPr>
                                <w:t>Board Composition – Director Nominees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BC">
                              <w:r>
                                <w:rPr>
                                  <w:rStyle w:val="InternetLink"/>
                                  <w:rFonts w:ascii="Times New Roman;Times;serif" w:hAnsi="Times New Roman;Times;serif"/>
                                  <w:color w:val="000000"/>
                                  <w:sz w:val="18"/>
                                </w:rPr>
                                <w:t>17</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SR">
                              <w:r>
                                <w:rPr>
                                  <w:rStyle w:val="InternetLink"/>
                                  <w:rFonts w:ascii="Times New Roman;Times;serif" w:hAnsi="Times New Roman;Times;serif"/>
                                  <w:color w:val="000000"/>
                                  <w:sz w:val="18"/>
                                </w:rPr>
                                <w:t>Shareholder Rights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SR">
                              <w:r>
                                <w:rPr>
                                  <w:rStyle w:val="InternetLink"/>
                                  <w:rFonts w:ascii="Times New Roman;Times;serif" w:hAnsi="Times New Roman;Times;serif"/>
                                  <w:color w:val="000000"/>
                                  <w:sz w:val="18"/>
                                </w:rPr>
                                <w:t>18</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AC">
                              <w:r>
                                <w:rPr>
                                  <w:rStyle w:val="InternetLink"/>
                                  <w:rFonts w:ascii="Times New Roman;Times;serif" w:hAnsi="Times New Roman;Times;serif"/>
                                  <w:color w:val="000000"/>
                                  <w:sz w:val="18"/>
                                </w:rPr>
                                <w:t>Accountability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AC">
                              <w:r>
                                <w:rPr>
                                  <w:rStyle w:val="InternetLink"/>
                                  <w:rFonts w:ascii="Times New Roman;Times;serif" w:hAnsi="Times New Roman;Times;serif"/>
                                  <w:color w:val="000000"/>
                                  <w:sz w:val="18"/>
                                </w:rPr>
                                <w:t>18</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BP">
                              <w:r>
                                <w:rPr>
                                  <w:rStyle w:val="InternetLink"/>
                                  <w:rFonts w:ascii="Times New Roman;Times;serif" w:hAnsi="Times New Roman;Times;serif"/>
                                  <w:color w:val="000000"/>
                                  <w:sz w:val="18"/>
                                </w:rPr>
                                <w:t>Board Practices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BP">
                              <w:r>
                                <w:rPr>
                                  <w:rStyle w:val="InternetLink"/>
                                  <w:rFonts w:ascii="Times New Roman;Times;serif" w:hAnsi="Times New Roman;Times;serif"/>
                                  <w:color w:val="000000"/>
                                  <w:sz w:val="18"/>
                                </w:rPr>
                                <w:t>19</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SE">
                              <w:r>
                                <w:rPr>
                                  <w:rStyle w:val="InternetLink"/>
                                  <w:rFonts w:ascii="Times New Roman;Times;serif" w:hAnsi="Times New Roman;Times;serif"/>
                                  <w:color w:val="000000"/>
                                  <w:sz w:val="18"/>
                                </w:rPr>
                                <w:t>Shareholder Engagement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SE">
                              <w:r>
                                <w:rPr>
                                  <w:rStyle w:val="InternetLink"/>
                                  <w:rFonts w:ascii="Times New Roman;Times;serif" w:hAnsi="Times New Roman;Times;serif"/>
                                  <w:color w:val="000000"/>
                                  <w:sz w:val="18"/>
                                </w:rPr>
                                <w:t>19</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35" w:right="0" w:hanging="0"/>
                              <w:jc w:val="left"/>
                              <w:rPr/>
                            </w:pPr>
                            <w:hyperlink w:anchor="tBDC">
                              <w:r>
                                <w:rPr>
                                  <w:rStyle w:val="InternetLink"/>
                                  <w:rFonts w:ascii="Times New Roman;Times;serif" w:hAnsi="Times New Roman;Times;serif"/>
                                  <w:b/>
                                  <w:color w:val="000000"/>
                                  <w:sz w:val="18"/>
                                </w:rPr>
                                <w:t>The Board of Directors and Its Committees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BDC">
                              <w:r>
                                <w:rPr>
                                  <w:rStyle w:val="InternetLink"/>
                                  <w:rFonts w:ascii="Times New Roman;Times;serif" w:hAnsi="Times New Roman;Times;serif"/>
                                  <w:color w:val="000000"/>
                                  <w:sz w:val="18"/>
                                </w:rPr>
                                <w:t>20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DI">
                              <w:r>
                                <w:rPr>
                                  <w:rStyle w:val="InternetLink"/>
                                  <w:rFonts w:ascii="Times New Roman;Times;serif" w:hAnsi="Times New Roman;Times;serif"/>
                                  <w:color w:val="000000"/>
                                  <w:sz w:val="18"/>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DI">
                              <w:r>
                                <w:rPr>
                                  <w:rStyle w:val="InternetLink"/>
                                  <w:rFonts w:ascii="Times New Roman;Times;serif" w:hAnsi="Times New Roman;Times;serif"/>
                                  <w:color w:val="000000"/>
                                  <w:sz w:val="18"/>
                                </w:rPr>
                                <w:t>20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BOC">
                              <w:r>
                                <w:rPr>
                                  <w:rStyle w:val="InternetLink"/>
                                  <w:rFonts w:ascii="Times New Roman;Times;serif" w:hAnsi="Times New Roman;Times;serif"/>
                                  <w:color w:val="000000"/>
                                  <w:sz w:val="18"/>
                                </w:rPr>
                                <w:t>Board Committees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BOC">
                              <w:r>
                                <w:rPr>
                                  <w:rStyle w:val="InternetLink"/>
                                  <w:rFonts w:ascii="Times New Roman;Times;serif" w:hAnsi="Times New Roman;Times;serif"/>
                                  <w:color w:val="000000"/>
                                  <w:sz w:val="18"/>
                                </w:rPr>
                                <w:t>20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BRR">
                              <w:r>
                                <w:rPr>
                                  <w:rStyle w:val="InternetLink"/>
                                  <w:rFonts w:ascii="Times New Roman;Times;serif" w:hAnsi="Times New Roman;Times;serif"/>
                                  <w:color w:val="000000"/>
                                  <w:sz w:val="18"/>
                                </w:rPr>
                                <w:t>The Board’s Role in 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BRR">
                              <w:r>
                                <w:rPr>
                                  <w:rStyle w:val="InternetLink"/>
                                  <w:rFonts w:ascii="Times New Roman;Times;serif" w:hAnsi="Times New Roman;Times;serif"/>
                                  <w:color w:val="000000"/>
                                  <w:sz w:val="18"/>
                                </w:rPr>
                                <w:t>23</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SHC">
                              <w:r>
                                <w:rPr>
                                  <w:rStyle w:val="InternetLink"/>
                                  <w:rFonts w:ascii="Times New Roman;Times;serif" w:hAnsi="Times New Roman;Times;serif"/>
                                  <w:color w:val="000000"/>
                                  <w:sz w:val="18"/>
                                </w:rPr>
                                <w:t>Shareholder Communications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SHC">
                              <w:r>
                                <w:rPr>
                                  <w:rStyle w:val="InternetLink"/>
                                  <w:rFonts w:ascii="Times New Roman;Times;serif" w:hAnsi="Times New Roman;Times;serif"/>
                                  <w:color w:val="000000"/>
                                  <w:sz w:val="18"/>
                                </w:rPr>
                                <w:t>23</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35" w:right="0" w:hanging="0"/>
                              <w:jc w:val="left"/>
                              <w:rPr/>
                            </w:pPr>
                            <w:hyperlink w:anchor="tIAO">
                              <w:r>
                                <w:rPr>
                                  <w:rStyle w:val="InternetLink"/>
                                  <w:rFonts w:ascii="Times New Roman;Times;serif" w:hAnsi="Times New Roman;Times;serif"/>
                                  <w:b/>
                                  <w:color w:val="000000"/>
                                  <w:sz w:val="18"/>
                                </w:rPr>
                                <w:t>Information About Our 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IAO">
                              <w:r>
                                <w:rPr>
                                  <w:rStyle w:val="InternetLink"/>
                                  <w:rFonts w:ascii="Times New Roman;Times;serif" w:hAnsi="Times New Roman;Times;serif"/>
                                  <w:color w:val="000000"/>
                                  <w:sz w:val="18"/>
                                </w:rPr>
                                <w:t>24</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35" w:right="0" w:hanging="0"/>
                              <w:jc w:val="left"/>
                              <w:rPr/>
                            </w:pPr>
                            <w:hyperlink w:anchor="tPRS">
                              <w:r>
                                <w:rPr>
                                  <w:rStyle w:val="InternetLink"/>
                                  <w:rFonts w:ascii="Times New Roman;Times;serif" w:hAnsi="Times New Roman;Times;serif"/>
                                  <w:b/>
                                  <w:color w:val="000000"/>
                                  <w:sz w:val="18"/>
                                </w:rPr>
                                <w:t>Principal Shareholders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PRS">
                              <w:r>
                                <w:rPr>
                                  <w:rStyle w:val="InternetLink"/>
                                  <w:rFonts w:ascii="Times New Roman;Times;serif" w:hAnsi="Times New Roman;Times;serif"/>
                                  <w:color w:val="000000"/>
                                  <w:sz w:val="18"/>
                                </w:rPr>
                                <w:t>25</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35" w:right="0" w:hanging="0"/>
                              <w:jc w:val="left"/>
                              <w:rPr/>
                            </w:pPr>
                            <w:hyperlink w:anchor="tBOS">
                              <w:r>
                                <w:rPr>
                                  <w:rStyle w:val="InternetLink"/>
                                  <w:rFonts w:ascii="Times New Roman;Times;serif" w:hAnsi="Times New Roman;Times;serif"/>
                                  <w:b/>
                                  <w:color w:val="000000"/>
                                  <w:sz w:val="18"/>
                                </w:rPr>
                                <w:t>Beneficial Ownership of Shares of Common Stock by Directors and 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BOS">
                              <w:r>
                                <w:rPr>
                                  <w:rStyle w:val="InternetLink"/>
                                  <w:rFonts w:ascii="Times New Roman;Times;serif" w:hAnsi="Times New Roman;Times;serif"/>
                                  <w:color w:val="000000"/>
                                  <w:sz w:val="18"/>
                                </w:rPr>
                                <w:t>26</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35" w:right="0" w:hanging="0"/>
                              <w:jc w:val="left"/>
                              <w:rPr/>
                            </w:pPr>
                            <w:hyperlink w:anchor="tCDA">
                              <w:r>
                                <w:rPr>
                                  <w:rStyle w:val="InternetLink"/>
                                  <w:rFonts w:ascii="Times New Roman;Times;serif" w:hAnsi="Times New Roman;Times;serif"/>
                                  <w:b/>
                                  <w:color w:val="000000"/>
                                  <w:sz w:val="18"/>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CDA">
                              <w:r>
                                <w:rPr>
                                  <w:rStyle w:val="InternetLink"/>
                                  <w:rFonts w:ascii="Times New Roman;Times;serif" w:hAnsi="Times New Roman;Times;serif"/>
                                  <w:color w:val="000000"/>
                                  <w:sz w:val="18"/>
                                </w:rPr>
                                <w:t>27</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ESUM">
                              <w:r>
                                <w:rPr>
                                  <w:rStyle w:val="InternetLink"/>
                                  <w:rFonts w:ascii="Times New Roman;Times;serif" w:hAnsi="Times New Roman;Times;serif"/>
                                  <w:color w:val="000000"/>
                                  <w:sz w:val="18"/>
                                </w:rPr>
                                <w:t>Executive Summary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ESUM">
                              <w:r>
                                <w:rPr>
                                  <w:rStyle w:val="InternetLink"/>
                                  <w:rFonts w:ascii="Times New Roman;Times;serif" w:hAnsi="Times New Roman;Times;serif"/>
                                  <w:color w:val="000000"/>
                                  <w:sz w:val="18"/>
                                </w:rPr>
                                <w:t>27</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CP">
                              <w:r>
                                <w:rPr>
                                  <w:rStyle w:val="InternetLink"/>
                                  <w:rFonts w:ascii="Times New Roman;Times;serif" w:hAnsi="Times New Roman;Times;serif"/>
                                  <w:color w:val="000000"/>
                                  <w:sz w:val="18"/>
                                </w:rPr>
                                <w:t>Executive Compensation Philosophy and Best Practices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CP">
                              <w:r>
                                <w:rPr>
                                  <w:rStyle w:val="InternetLink"/>
                                  <w:rFonts w:ascii="Times New Roman;Times;serif" w:hAnsi="Times New Roman;Times;serif"/>
                                  <w:color w:val="000000"/>
                                  <w:sz w:val="18"/>
                                </w:rPr>
                                <w:t>29</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PDE">
                              <w:r>
                                <w:rPr>
                                  <w:rStyle w:val="InternetLink"/>
                                  <w:rFonts w:ascii="Times New Roman;Times;serif" w:hAnsi="Times New Roman;Times;serif"/>
                                  <w:color w:val="000000"/>
                                  <w:sz w:val="18"/>
                                </w:rPr>
                                <w:t>Executive Compensation Process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PDE">
                              <w:r>
                                <w:rPr>
                                  <w:rStyle w:val="InternetLink"/>
                                  <w:rFonts w:ascii="Times New Roman;Times;serif" w:hAnsi="Times New Roman;Times;serif"/>
                                  <w:color w:val="000000"/>
                                  <w:sz w:val="18"/>
                                </w:rPr>
                                <w:t>30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CPE">
                              <w:r>
                                <w:rPr>
                                  <w:rStyle w:val="InternetLink"/>
                                  <w:rFonts w:ascii="Times New Roman;Times;serif" w:hAnsi="Times New Roman;Times;serif"/>
                                  <w:color w:val="000000"/>
                                  <w:sz w:val="18"/>
                                </w:rPr>
                                <w:t>Compensation Program Elements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CPE">
                              <w:r>
                                <w:rPr>
                                  <w:rStyle w:val="InternetLink"/>
                                  <w:rFonts w:ascii="Times New Roman;Times;serif" w:hAnsi="Times New Roman;Times;serif"/>
                                  <w:color w:val="000000"/>
                                  <w:sz w:val="18"/>
                                </w:rPr>
                                <w:t>33</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OCPP">
                              <w:r>
                                <w:rPr>
                                  <w:rStyle w:val="InternetLink"/>
                                  <w:rFonts w:ascii="Times New Roman;Times;serif" w:hAnsi="Times New Roman;Times;serif"/>
                                  <w:color w:val="000000"/>
                                  <w:sz w:val="18"/>
                                </w:rPr>
                                <w:t>Other Compensation Programs and Policies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OCPP">
                              <w:r>
                                <w:rPr>
                                  <w:rStyle w:val="InternetLink"/>
                                  <w:rFonts w:ascii="Times New Roman;Times;serif" w:hAnsi="Times New Roman;Times;serif"/>
                                  <w:color w:val="000000"/>
                                  <w:sz w:val="18"/>
                                </w:rPr>
                                <w:t>41</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TAX">
                              <w:r>
                                <w:rPr>
                                  <w:rStyle w:val="InternetLink"/>
                                  <w:rFonts w:ascii="Times New Roman;Times;serif" w:hAnsi="Times New Roman;Times;serif"/>
                                  <w:color w:val="000000"/>
                                  <w:sz w:val="18"/>
                                </w:rPr>
                                <w:t>Tax Treatment of Certain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TAX">
                              <w:r>
                                <w:rPr>
                                  <w:rStyle w:val="InternetLink"/>
                                  <w:rFonts w:ascii="Times New Roman;Times;serif" w:hAnsi="Times New Roman;Times;serif"/>
                                  <w:color w:val="000000"/>
                                  <w:sz w:val="18"/>
                                </w:rPr>
                                <w:t>42</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283"/>
                              <w:ind w:left="515" w:right="0" w:hanging="0"/>
                              <w:jc w:val="left"/>
                              <w:rPr/>
                            </w:pPr>
                            <w:hyperlink w:anchor="tREC">
                              <w:r>
                                <w:rPr>
                                  <w:rStyle w:val="InternetLink"/>
                                  <w:rFonts w:ascii="Times New Roman;Times;serif" w:hAnsi="Times New Roman;Times;serif"/>
                                  <w:color w:val="000000"/>
                                  <w:sz w:val="18"/>
                                </w:rPr>
                                <w:t>Recent Executive Compensation Decisions for the 2027 Fiscal Year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210" w:right="0" w:hanging="0"/>
                              <w:jc w:val="left"/>
                              <w:rPr/>
                            </w:pPr>
                            <w:hyperlink w:anchor="tREC">
                              <w:r>
                                <w:rPr>
                                  <w:rStyle w:val="InternetLink"/>
                                  <w:rFonts w:ascii="Times New Roman;Times;serif" w:hAnsi="Times New Roman;Times;serif"/>
                                  <w:color w:val="000000"/>
                                  <w:sz w:val="18"/>
                                </w:rPr>
                                <w:t>42</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457200" distR="0" simplePos="0" locked="0" layoutInCell="1" allowOverlap="1" relativeHeight="134">
                <wp:simplePos x="0" y="0"/>
                <wp:positionH relativeFrom="column">
                  <wp:align>left</wp:align>
                </wp:positionH>
                <wp:positionV relativeFrom="line">
                  <wp:posOffset>635</wp:posOffset>
                </wp:positionV>
                <wp:extent cx="3175000" cy="9972040"/>
                <wp:effectExtent l="0" t="0" r="0" b="0"/>
                <wp:wrapSquare wrapText="right"/>
                <wp:docPr id="5"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2490" w:type="dxa"/>
                              <w:jc w:val="left"/>
                              <w:tblInd w:w="0" w:type="dxa"/>
                              <w:tblLayout w:type="fixed"/>
                              <w:tblCellMar>
                                <w:top w:w="0" w:type="dxa"/>
                                <w:left w:w="0" w:type="dxa"/>
                                <w:bottom w:w="0" w:type="dxa"/>
                                <w:right w:w="0" w:type="dxa"/>
                              </w:tblCellMar>
                            </w:tblPr>
                            <w:tblGrid>
                              <w:gridCol w:w="185"/>
                              <w:gridCol w:w="1415"/>
                              <w:gridCol w:w="170"/>
                              <w:gridCol w:w="170"/>
                              <w:gridCol w:w="335"/>
                              <w:gridCol w:w="215"/>
                            </w:tblGrid>
                            <w:tr>
                              <w:trPr/>
                              <w:tc>
                                <w:tcPr>
                                  <w:tcW w:w="185" w:type="dxa"/>
                                  <w:tcBorders/>
                                  <w:shd w:fill="D9D9D9" w:val="clear"/>
                                  <w:vAlign w:val="center"/>
                                </w:tcPr>
                                <w:p>
                                  <w:pPr>
                                    <w:pStyle w:val="TableContents"/>
                                    <w:bidi w:val="0"/>
                                    <w:spacing w:before="0" w:after="0"/>
                                    <w:jc w:val="left"/>
                                    <w:rPr/>
                                  </w:pPr>
                                  <w:r>
                                    <w:rPr/>
                                    <w:t> </w:t>
                                  </w:r>
                                </w:p>
                              </w:tc>
                              <w:tc>
                                <w:tcPr>
                                  <w:tcW w:w="1415"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415" w:type="dxa"/>
                                  <w:tcBorders/>
                                  <w:shd w:fill="D9D9D9"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SECTION (cont.)</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PG.</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415"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8175" w:type="dxa"/>
                              <w:jc w:val="left"/>
                              <w:tblInd w:w="0" w:type="dxa"/>
                              <w:tblLayout w:type="fixed"/>
                              <w:tblCellMar>
                                <w:top w:w="0" w:type="dxa"/>
                                <w:left w:w="0" w:type="dxa"/>
                                <w:bottom w:w="0" w:type="dxa"/>
                                <w:right w:w="0" w:type="dxa"/>
                              </w:tblCellMar>
                            </w:tblPr>
                            <w:tblGrid>
                              <w:gridCol w:w="185"/>
                              <w:gridCol w:w="7100"/>
                              <w:gridCol w:w="170"/>
                              <w:gridCol w:w="170"/>
                              <w:gridCol w:w="335"/>
                              <w:gridCol w:w="215"/>
                            </w:tblGrid>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CCR">
                                    <w:r>
                                      <w:rPr>
                                        <w:rStyle w:val="InternetLink"/>
                                        <w:rFonts w:ascii="Times New Roman;Times;serif" w:hAnsi="Times New Roman;Times;serif"/>
                                        <w:b/>
                                        <w:color w:val="000000"/>
                                        <w:sz w:val="18"/>
                                      </w:rPr>
                                      <w:t xml:space="preserve">Compensation Committee Report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CCR">
                                    <w:r>
                                      <w:rPr>
                                        <w:rStyle w:val="InternetLink"/>
                                        <w:rFonts w:ascii="Times New Roman;Times;serif" w:hAnsi="Times New Roman;Times;serif"/>
                                        <w:color w:val="000000"/>
                                        <w:sz w:val="18"/>
                                      </w:rPr>
                                      <w:t>43</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CCI">
                                    <w:r>
                                      <w:rPr>
                                        <w:rStyle w:val="InternetLink"/>
                                        <w:rFonts w:ascii="Times New Roman;Times;serif" w:hAnsi="Times New Roman;Times;serif"/>
                                        <w:b/>
                                        <w:color w:val="000000"/>
                                        <w:sz w:val="18"/>
                                      </w:rPr>
                                      <w:t>Compensation Committee Interlocks and Insider Participation in Compensation Decisions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CCI">
                                    <w:r>
                                      <w:rPr>
                                        <w:rStyle w:val="InternetLink"/>
                                        <w:rFonts w:ascii="Times New Roman;Times;serif" w:hAnsi="Times New Roman;Times;serif"/>
                                        <w:color w:val="000000"/>
                                        <w:sz w:val="18"/>
                                      </w:rPr>
                                      <w:t>43</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CPM">
                                    <w:r>
                                      <w:rPr>
                                        <w:rStyle w:val="InternetLink"/>
                                        <w:rFonts w:ascii="Times New Roman;Times;serif" w:hAnsi="Times New Roman;Times;serif"/>
                                        <w:b/>
                                        <w:color w:val="000000"/>
                                        <w:sz w:val="18"/>
                                      </w:rPr>
                                      <w:t>Compensation Programs and Risk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CPM">
                                    <w:r>
                                      <w:rPr>
                                        <w:rStyle w:val="InternetLink"/>
                                        <w:rFonts w:ascii="Times New Roman;Times;serif" w:hAnsi="Times New Roman;Times;serif"/>
                                        <w:color w:val="000000"/>
                                        <w:sz w:val="18"/>
                                      </w:rPr>
                                      <w:t>43</w:t>
                                    </w:r>
                                  </w:hyperlink>
                                  <w:hyperlink w:anchor="tCPM">
                                    <w:r>
                                      <w:rPr>
                                        <w:rStyle w:val="InternetLink"/>
                                        <w:rFonts w:ascii="Times New Roman;Times;serif" w:hAnsi="Times New Roman;Times;serif"/>
                                        <w:color w:val="000000"/>
                                        <w:sz w:val="18"/>
                                      </w:rPr>
                                      <w:t xml:space="preserve"> </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EC">
                                    <w:r>
                                      <w:rPr>
                                        <w:rStyle w:val="InternetLink"/>
                                        <w:rFonts w:ascii="Times New Roman;Times;serif" w:hAnsi="Times New Roman;Times;serif"/>
                                        <w:b/>
                                        <w:color w:val="000000"/>
                                        <w:sz w:val="18"/>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EC">
                                    <w:r>
                                      <w:rPr>
                                        <w:rStyle w:val="InternetLink"/>
                                        <w:rFonts w:ascii="Times New Roman;Times;serif" w:hAnsi="Times New Roman;Times;serif"/>
                                        <w:color w:val="000000"/>
                                        <w:sz w:val="18"/>
                                      </w:rPr>
                                      <w:t>44</w:t>
                                    </w:r>
                                  </w:hyperlink>
                                  <w:hyperlink w:anchor="tEC">
                                    <w:r>
                                      <w:rPr>
                                        <w:rStyle w:val="InternetLink"/>
                                        <w:rFonts w:ascii="Times New Roman;Times;serif" w:hAnsi="Times New Roman;Times;serif"/>
                                        <w:color w:val="000000"/>
                                        <w:sz w:val="18"/>
                                      </w:rPr>
                                      <w:t xml:space="preserve"> </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515" w:right="0" w:hanging="0"/>
                                    <w:jc w:val="left"/>
                                    <w:rPr/>
                                  </w:pPr>
                                  <w:hyperlink w:anchor="tSCT">
                                    <w:r>
                                      <w:rPr>
                                        <w:rStyle w:val="InternetLink"/>
                                        <w:rFonts w:ascii="Times New Roman;Times;serif" w:hAnsi="Times New Roman;Times;serif"/>
                                        <w:color w:val="000000"/>
                                        <w:sz w:val="18"/>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SCT">
                                    <w:r>
                                      <w:rPr>
                                        <w:rStyle w:val="InternetLink"/>
                                        <w:rFonts w:ascii="Times New Roman;Times;serif" w:hAnsi="Times New Roman;Times;serif"/>
                                        <w:color w:val="000000"/>
                                        <w:sz w:val="18"/>
                                      </w:rPr>
                                      <w:t>44</w:t>
                                    </w:r>
                                  </w:hyperlink>
                                  <w:hyperlink w:anchor="tSCT">
                                    <w:r>
                                      <w:rPr>
                                        <w:rStyle w:val="InternetLink"/>
                                        <w:rFonts w:ascii="Times New Roman;Times;serif" w:hAnsi="Times New Roman;Times;serif"/>
                                        <w:color w:val="000000"/>
                                        <w:sz w:val="18"/>
                                      </w:rPr>
                                      <w:t xml:space="preserve"> </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515" w:right="0" w:hanging="0"/>
                                    <w:jc w:val="left"/>
                                    <w:rPr/>
                                  </w:pPr>
                                  <w:hyperlink w:anchor="tGP">
                                    <w:r>
                                      <w:rPr>
                                        <w:rStyle w:val="InternetLink"/>
                                        <w:rFonts w:ascii="Times New Roman;Times;serif" w:hAnsi="Times New Roman;Times;serif"/>
                                        <w:color w:val="000000"/>
                                        <w:sz w:val="18"/>
                                      </w:rPr>
                                      <w:t>Grants of Plan-Based Awards in Fiscal 2026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GP">
                                    <w:r>
                                      <w:rPr>
                                        <w:rStyle w:val="InternetLink"/>
                                        <w:rFonts w:ascii="Times New Roman;Times;serif" w:hAnsi="Times New Roman;Times;serif"/>
                                        <w:color w:val="000000"/>
                                        <w:sz w:val="18"/>
                                      </w:rPr>
                                      <w:t>46</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515" w:right="0" w:hanging="0"/>
                                    <w:jc w:val="left"/>
                                    <w:rPr/>
                                  </w:pPr>
                                  <w:hyperlink w:anchor="tNS">
                                    <w:r>
                                      <w:rPr>
                                        <w:rStyle w:val="InternetLink"/>
                                        <w:rFonts w:ascii="Times New Roman;Times;serif" w:hAnsi="Times New Roman;Times;serif"/>
                                        <w:color w:val="000000"/>
                                        <w:sz w:val="18"/>
                                      </w:rPr>
                                      <w:t>Narrative to the Summary Compensation Table and Grants of Plan-Based Awards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NS">
                                    <w:r>
                                      <w:rPr>
                                        <w:rStyle w:val="InternetLink"/>
                                        <w:rFonts w:ascii="Times New Roman;Times;serif" w:hAnsi="Times New Roman;Times;serif"/>
                                        <w:color w:val="000000"/>
                                        <w:sz w:val="18"/>
                                      </w:rPr>
                                      <w:t>47</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515" w:right="0" w:hanging="0"/>
                                    <w:jc w:val="left"/>
                                    <w:rPr/>
                                  </w:pPr>
                                  <w:hyperlink w:anchor="tOU">
                                    <w:r>
                                      <w:rPr>
                                        <w:rStyle w:val="InternetLink"/>
                                        <w:rFonts w:ascii="Times New Roman;Times;serif" w:hAnsi="Times New Roman;Times;serif"/>
                                        <w:color w:val="000000"/>
                                        <w:sz w:val="18"/>
                                      </w:rPr>
                                      <w:t>Outstanding Equity Awards at 2026 Fiscal Year-End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OU">
                                    <w:r>
                                      <w:rPr>
                                        <w:rStyle w:val="InternetLink"/>
                                        <w:rFonts w:ascii="Times New Roman;Times;serif" w:hAnsi="Times New Roman;Times;serif"/>
                                        <w:color w:val="000000"/>
                                        <w:sz w:val="18"/>
                                      </w:rPr>
                                      <w:t>50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515" w:right="0" w:hanging="0"/>
                                    <w:jc w:val="left"/>
                                    <w:rPr/>
                                  </w:pPr>
                                  <w:hyperlink w:anchor="tOE">
                                    <w:r>
                                      <w:rPr>
                                        <w:rStyle w:val="InternetLink"/>
                                        <w:rFonts w:ascii="Times New Roman;Times;serif" w:hAnsi="Times New Roman;Times;serif"/>
                                        <w:color w:val="000000"/>
                                        <w:sz w:val="18"/>
                                      </w:rPr>
                                      <w:t>Option Exercises and Stock Vested in Fiscal 2026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OE">
                                    <w:r>
                                      <w:rPr>
                                        <w:rStyle w:val="InternetLink"/>
                                        <w:rFonts w:ascii="Times New Roman;Times;serif" w:hAnsi="Times New Roman;Times;serif"/>
                                        <w:color w:val="000000"/>
                                        <w:sz w:val="18"/>
                                      </w:rPr>
                                      <w:t>52</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515" w:right="0" w:hanging="0"/>
                                    <w:jc w:val="left"/>
                                    <w:rPr/>
                                  </w:pPr>
                                  <w:hyperlink w:anchor="tND">
                                    <w:r>
                                      <w:rPr>
                                        <w:rStyle w:val="InternetLink"/>
                                        <w:rFonts w:ascii="Times New Roman;Times;serif" w:hAnsi="Times New Roman;Times;serif"/>
                                        <w:color w:val="000000"/>
                                        <w:sz w:val="18"/>
                                      </w:rPr>
                                      <w:t>Nonqualified Deferred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ND">
                                    <w:r>
                                      <w:rPr>
                                        <w:rStyle w:val="InternetLink"/>
                                        <w:rFonts w:ascii="Times New Roman;Times;serif" w:hAnsi="Times New Roman;Times;serif"/>
                                        <w:color w:val="000000"/>
                                        <w:sz w:val="18"/>
                                      </w:rPr>
                                      <w:t>52</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PP">
                                    <w:r>
                                      <w:rPr>
                                        <w:rStyle w:val="InternetLink"/>
                                        <w:rFonts w:ascii="Times New Roman;Times;serif" w:hAnsi="Times New Roman;Times;serif"/>
                                        <w:b/>
                                        <w:color w:val="000000"/>
                                        <w:sz w:val="18"/>
                                      </w:rPr>
                                      <w:t>Potential Payments upon Termination or Change of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PP">
                                    <w:r>
                                      <w:rPr>
                                        <w:rStyle w:val="InternetLink"/>
                                        <w:rFonts w:ascii="Times New Roman;Times;serif" w:hAnsi="Times New Roman;Times;serif"/>
                                        <w:color w:val="000000"/>
                                        <w:sz w:val="18"/>
                                      </w:rPr>
                                      <w:t>53</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CEO">
                                    <w:r>
                                      <w:rPr>
                                        <w:rStyle w:val="InternetLink"/>
                                        <w:rFonts w:ascii="Times New Roman;Times;serif" w:hAnsi="Times New Roman;Times;serif"/>
                                        <w:b/>
                                        <w:color w:val="000000"/>
                                        <w:sz w:val="18"/>
                                      </w:rPr>
                                      <w:t>CEO Pay Ratio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CEO">
                                    <w:r>
                                      <w:rPr>
                                        <w:rStyle w:val="InternetLink"/>
                                        <w:rFonts w:ascii="Times New Roman;Times;serif" w:hAnsi="Times New Roman;Times;serif"/>
                                        <w:color w:val="000000"/>
                                        <w:sz w:val="18"/>
                                      </w:rPr>
                                      <w:t>56</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PVP">
                                    <w:r>
                                      <w:rPr>
                                        <w:rStyle w:val="InternetLink"/>
                                        <w:rFonts w:ascii="Times New Roman;Times;serif" w:hAnsi="Times New Roman;Times;serif"/>
                                        <w:b/>
                                        <w:color w:val="000000"/>
                                        <w:sz w:val="18"/>
                                      </w:rPr>
                                      <w:t>Pay Versus Performance Disclosure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PVP">
                                    <w:r>
                                      <w:rPr>
                                        <w:rStyle w:val="InternetLink"/>
                                        <w:rFonts w:ascii="Times New Roman;Times;serif" w:hAnsi="Times New Roman;Times;serif"/>
                                        <w:color w:val="000000"/>
                                        <w:sz w:val="18"/>
                                      </w:rPr>
                                      <w:t>57</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ECP">
                                    <w:r>
                                      <w:rPr>
                                        <w:rStyle w:val="InternetLink"/>
                                        <w:rFonts w:ascii="Times New Roman;Times;serif" w:hAnsi="Times New Roman;Times;serif"/>
                                        <w:b/>
                                        <w:color w:val="000000"/>
                                        <w:sz w:val="18"/>
                                      </w:rPr>
                                      <w:t xml:space="preserve">Equity Compensation Plan Information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ECP">
                                    <w:r>
                                      <w:rPr>
                                        <w:rStyle w:val="InternetLink"/>
                                        <w:rFonts w:ascii="Times New Roman;Times;serif" w:hAnsi="Times New Roman;Times;serif"/>
                                        <w:color w:val="000000"/>
                                        <w:sz w:val="18"/>
                                      </w:rPr>
                                      <w:t>60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DC">
                                    <w:r>
                                      <w:rPr>
                                        <w:rStyle w:val="InternetLink"/>
                                        <w:rFonts w:ascii="Times New Roman;Times;serif" w:hAnsi="Times New Roman;Times;serif"/>
                                        <w:b/>
                                        <w:color w:val="000000"/>
                                        <w:sz w:val="18"/>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DC">
                                    <w:r>
                                      <w:rPr>
                                        <w:rStyle w:val="InternetLink"/>
                                        <w:rFonts w:ascii="Times New Roman;Times;serif" w:hAnsi="Times New Roman;Times;serif"/>
                                        <w:color w:val="000000"/>
                                        <w:sz w:val="18"/>
                                      </w:rPr>
                                      <w:t>61</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515" w:right="0" w:hanging="0"/>
                                    <w:jc w:val="left"/>
                                    <w:rPr/>
                                  </w:pPr>
                                  <w:hyperlink w:anchor="tCR">
                                    <w:r>
                                      <w:rPr>
                                        <w:rStyle w:val="InternetLink"/>
                                        <w:rFonts w:ascii="Times New Roman;Times;serif" w:hAnsi="Times New Roman;Times;serif"/>
                                        <w:color w:val="000000"/>
                                        <w:sz w:val="18"/>
                                      </w:rPr>
                                      <w:t>Certain Relationships and Related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CR">
                                    <w:r>
                                      <w:rPr>
                                        <w:rStyle w:val="InternetLink"/>
                                        <w:rFonts w:ascii="Times New Roman;Times;serif" w:hAnsi="Times New Roman;Times;serif"/>
                                        <w:color w:val="000000"/>
                                        <w:sz w:val="18"/>
                                      </w:rPr>
                                      <w:t>62</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ROA">
                                    <w:r>
                                      <w:rPr>
                                        <w:rStyle w:val="InternetLink"/>
                                        <w:rFonts w:ascii="Times New Roman;Times;serif" w:hAnsi="Times New Roman;Times;serif"/>
                                        <w:b/>
                                        <w:color w:val="000000"/>
                                        <w:sz w:val="18"/>
                                      </w:rPr>
                                      <w:t>Report of the Audit Committee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ROA">
                                    <w:r>
                                      <w:rPr>
                                        <w:rStyle w:val="InternetLink"/>
                                        <w:rFonts w:ascii="Times New Roman;Times;serif" w:hAnsi="Times New Roman;Times;serif"/>
                                        <w:color w:val="000000"/>
                                        <w:sz w:val="18"/>
                                      </w:rPr>
                                      <w:t>64</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PROP2">
                                    <w:r>
                                      <w:rPr>
                                        <w:rStyle w:val="InternetLink"/>
                                        <w:rFonts w:ascii="Times New Roman;Times;serif" w:hAnsi="Times New Roman;Times;serif"/>
                                        <w:b/>
                                        <w:color w:val="000000"/>
                                        <w:sz w:val="18"/>
                                      </w:rPr>
                                      <w:t>Proposal 2: Ratification of Appointment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PROP2">
                                    <w:r>
                                      <w:rPr>
                                        <w:rStyle w:val="InternetLink"/>
                                        <w:rFonts w:ascii="Times New Roman;Times;serif" w:hAnsi="Times New Roman;Times;serif"/>
                                        <w:color w:val="000000"/>
                                        <w:sz w:val="18"/>
                                      </w:rPr>
                                      <w:t>65</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515" w:right="0" w:hanging="0"/>
                                    <w:jc w:val="left"/>
                                    <w:rPr/>
                                  </w:pPr>
                                  <w:hyperlink w:anchor="tIAF">
                                    <w:r>
                                      <w:rPr>
                                        <w:rStyle w:val="InternetLink"/>
                                        <w:rFonts w:ascii="Times New Roman;Times;serif" w:hAnsi="Times New Roman;Times;serif"/>
                                        <w:color w:val="000000"/>
                                        <w:sz w:val="18"/>
                                      </w:rPr>
                                      <w:t>Independent Auditor Fees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IAF">
                                    <w:r>
                                      <w:rPr>
                                        <w:rStyle w:val="InternetLink"/>
                                        <w:rFonts w:ascii="Times New Roman;Times;serif" w:hAnsi="Times New Roman;Times;serif"/>
                                        <w:color w:val="000000"/>
                                        <w:sz w:val="18"/>
                                      </w:rPr>
                                      <w:t>65</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515" w:right="0" w:hanging="0"/>
                                    <w:jc w:val="left"/>
                                    <w:rPr/>
                                  </w:pPr>
                                  <w:hyperlink w:anchor="tPRE">
                                    <w:r>
                                      <w:rPr>
                                        <w:rStyle w:val="InternetLink"/>
                                        <w:rFonts w:ascii="Times New Roman;Times;serif" w:hAnsi="Times New Roman;Times;serif"/>
                                        <w:color w:val="000000"/>
                                        <w:sz w:val="18"/>
                                      </w:rPr>
                                      <w:t>Pre-Approval Procedures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PRE">
                                    <w:r>
                                      <w:rPr>
                                        <w:rStyle w:val="InternetLink"/>
                                        <w:rFonts w:ascii="Times New Roman;Times;serif" w:hAnsi="Times New Roman;Times;serif"/>
                                        <w:color w:val="000000"/>
                                        <w:sz w:val="18"/>
                                      </w:rPr>
                                      <w:t>65</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PROP3">
                                    <w:r>
                                      <w:rPr>
                                        <w:rStyle w:val="InternetLink"/>
                                        <w:rFonts w:ascii="Times New Roman;Times;serif" w:hAnsi="Times New Roman;Times;serif"/>
                                        <w:b/>
                                        <w:color w:val="000000"/>
                                        <w:sz w:val="18"/>
                                      </w:rPr>
                                      <w:t>Proposal 3: Advisory Vote on our Named Executive Officer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PROP3">
                                    <w:r>
                                      <w:rPr>
                                        <w:rStyle w:val="InternetLink"/>
                                        <w:rFonts w:ascii="Times New Roman;Times;serif" w:hAnsi="Times New Roman;Times;serif"/>
                                        <w:color w:val="000000"/>
                                        <w:sz w:val="18"/>
                                      </w:rPr>
                                      <w:t>66</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PROP4">
                                    <w:r>
                                      <w:rPr>
                                        <w:rStyle w:val="InternetLink"/>
                                        <w:rFonts w:ascii="Times New Roman;Times;serif" w:hAnsi="Times New Roman;Times;serif"/>
                                        <w:b/>
                                        <w:color w:val="000000"/>
                                        <w:sz w:val="18"/>
                                      </w:rPr>
                                      <w:t>Proposal 4: Shareholder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PROP4">
                                    <w:r>
                                      <w:rPr>
                                        <w:rStyle w:val="InternetLink"/>
                                        <w:rFonts w:ascii="Times New Roman;Times;serif" w:hAnsi="Times New Roman;Times;serif"/>
                                        <w:color w:val="000000"/>
                                        <w:sz w:val="18"/>
                                      </w:rPr>
                                      <w:t>67</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AR">
                                    <w:r>
                                      <w:rPr>
                                        <w:rStyle w:val="InternetLink"/>
                                        <w:rFonts w:ascii="Times New Roman;Times;serif" w:hAnsi="Times New Roman;Times;serif"/>
                                        <w:b/>
                                        <w:color w:val="000000"/>
                                        <w:sz w:val="18"/>
                                      </w:rPr>
                                      <w:t>Annual Reports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AR">
                                    <w:r>
                                      <w:rPr>
                                        <w:rStyle w:val="InternetLink"/>
                                        <w:rFonts w:ascii="Times New Roman;Times;serif" w:hAnsi="Times New Roman;Times;serif"/>
                                        <w:color w:val="000000"/>
                                        <w:sz w:val="18"/>
                                      </w:rPr>
                                      <w:t>69</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SS">
                                    <w:r>
                                      <w:rPr>
                                        <w:rStyle w:val="InternetLink"/>
                                        <w:rFonts w:ascii="Times New Roman;Times;serif" w:hAnsi="Times New Roman;Times;serif"/>
                                        <w:b/>
                                        <w:color w:val="000000"/>
                                        <w:sz w:val="18"/>
                                      </w:rPr>
                                      <w:t>Shareholders Sharing an Address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SS">
                                    <w:r>
                                      <w:rPr>
                                        <w:rStyle w:val="InternetLink"/>
                                        <w:rFonts w:ascii="Times New Roman;Times;serif" w:hAnsi="Times New Roman;Times;serif"/>
                                        <w:color w:val="000000"/>
                                        <w:sz w:val="18"/>
                                      </w:rPr>
                                      <w:t>69</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SSP">
                                    <w:r>
                                      <w:rPr>
                                        <w:rStyle w:val="InternetLink"/>
                                        <w:rFonts w:ascii="Times New Roman;Times;serif" w:hAnsi="Times New Roman;Times;serif"/>
                                        <w:b/>
                                        <w:color w:val="000000"/>
                                        <w:sz w:val="18"/>
                                      </w:rPr>
                                      <w:t>Submission of Shareholder Proposals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SSP">
                                    <w:r>
                                      <w:rPr>
                                        <w:rStyle w:val="InternetLink"/>
                                        <w:rFonts w:ascii="Times New Roman;Times;serif" w:hAnsi="Times New Roman;Times;serif"/>
                                        <w:color w:val="000000"/>
                                        <w:sz w:val="18"/>
                                      </w:rPr>
                                      <w:t>69</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PS">
                                    <w:r>
                                      <w:rPr>
                                        <w:rStyle w:val="InternetLink"/>
                                        <w:rFonts w:ascii="Times New Roman;Times;serif" w:hAnsi="Times New Roman;Times;serif"/>
                                        <w:b/>
                                        <w:color w:val="000000"/>
                                        <w:sz w:val="18"/>
                                      </w:rPr>
                                      <w:t>Proxy Solicitation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PS">
                                    <w:r>
                                      <w:rPr>
                                        <w:rStyle w:val="InternetLink"/>
                                        <w:rFonts w:ascii="Times New Roman;Times;serif" w:hAnsi="Times New Roman;Times;serif"/>
                                        <w:color w:val="000000"/>
                                        <w:sz w:val="18"/>
                                      </w:rPr>
                                      <w:t>70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OM">
                                    <w:r>
                                      <w:rPr>
                                        <w:rStyle w:val="InternetLink"/>
                                        <w:rFonts w:ascii="Times New Roman;Times;serif" w:hAnsi="Times New Roman;Times;serif"/>
                                        <w:b/>
                                        <w:color w:val="000000"/>
                                        <w:sz w:val="18"/>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OM">
                                    <w:r>
                                      <w:rPr>
                                        <w:rStyle w:val="InternetLink"/>
                                        <w:rFonts w:ascii="Times New Roman;Times;serif" w:hAnsi="Times New Roman;Times;serif"/>
                                        <w:color w:val="000000"/>
                                        <w:sz w:val="18"/>
                                      </w:rPr>
                                      <w:t>70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FLS">
                                    <w:r>
                                      <w:rPr>
                                        <w:rStyle w:val="InternetLink"/>
                                        <w:rFonts w:ascii="Times New Roman;Times;serif" w:hAnsi="Times New Roman;Times;serif"/>
                                        <w:b/>
                                        <w:color w:val="000000"/>
                                        <w:sz w:val="18"/>
                                      </w:rPr>
                                      <w:t>Forward-Looking Statements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FLS">
                                    <w:r>
                                      <w:rPr>
                                        <w:rStyle w:val="InternetLink"/>
                                        <w:rFonts w:ascii="Times New Roman;Times;serif" w:hAnsi="Times New Roman;Times;serif"/>
                                        <w:color w:val="000000"/>
                                        <w:sz w:val="18"/>
                                      </w:rPr>
                                      <w:t>70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APPA">
                                    <w:r>
                                      <w:rPr>
                                        <w:rStyle w:val="InternetLink"/>
                                        <w:rFonts w:ascii="Times New Roman;Times;serif" w:hAnsi="Times New Roman;Times;serif"/>
                                        <w:b/>
                                        <w:color w:val="000000"/>
                                        <w:sz w:val="18"/>
                                      </w:rPr>
                                      <w:t>Appendix A: Non-GAAP reconciliations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APPA">
                                    <w:r>
                                      <w:rPr>
                                        <w:rStyle w:val="InternetLink"/>
                                        <w:rFonts w:ascii="Times New Roman;Times;serif" w:hAnsi="Times New Roman;Times;serif"/>
                                        <w:color w:val="000000"/>
                                        <w:sz w:val="18"/>
                                      </w:rPr>
                                      <w:t>A-1</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0pt;height:785.2pt;mso-wrap-distance-left:36pt;mso-wrap-distance-right:0pt;mso-wrap-distance-top:0pt;mso-wrap-distance-bottom:0pt;margin-top:0pt;mso-position-vertical:top;mso-position-vertical-relative:text;margin-left:286pt;mso-position-horizontal:left;mso-position-horizontal-relative:text">
                <v:textbox>
                  <w:txbxContent>
                    <w:tbl>
                      <w:tblPr>
                        <w:tblW w:w="2490" w:type="dxa"/>
                        <w:jc w:val="left"/>
                        <w:tblInd w:w="0" w:type="dxa"/>
                        <w:tblLayout w:type="fixed"/>
                        <w:tblCellMar>
                          <w:top w:w="0" w:type="dxa"/>
                          <w:left w:w="0" w:type="dxa"/>
                          <w:bottom w:w="0" w:type="dxa"/>
                          <w:right w:w="0" w:type="dxa"/>
                        </w:tblCellMar>
                      </w:tblPr>
                      <w:tblGrid>
                        <w:gridCol w:w="185"/>
                        <w:gridCol w:w="1415"/>
                        <w:gridCol w:w="170"/>
                        <w:gridCol w:w="170"/>
                        <w:gridCol w:w="335"/>
                        <w:gridCol w:w="215"/>
                      </w:tblGrid>
                      <w:tr>
                        <w:trPr/>
                        <w:tc>
                          <w:tcPr>
                            <w:tcW w:w="185" w:type="dxa"/>
                            <w:tcBorders/>
                            <w:shd w:fill="D9D9D9" w:val="clear"/>
                            <w:vAlign w:val="center"/>
                          </w:tcPr>
                          <w:p>
                            <w:pPr>
                              <w:pStyle w:val="TableContents"/>
                              <w:bidi w:val="0"/>
                              <w:spacing w:before="0" w:after="0"/>
                              <w:jc w:val="left"/>
                              <w:rPr/>
                            </w:pPr>
                            <w:r>
                              <w:rPr/>
                              <w:t> </w:t>
                            </w:r>
                          </w:p>
                        </w:tc>
                        <w:tc>
                          <w:tcPr>
                            <w:tcW w:w="1415"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415" w:type="dxa"/>
                            <w:tcBorders/>
                            <w:shd w:fill="D9D9D9"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SECTION (cont.)</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PG.</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415"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8175" w:type="dxa"/>
                        <w:jc w:val="left"/>
                        <w:tblInd w:w="0" w:type="dxa"/>
                        <w:tblLayout w:type="fixed"/>
                        <w:tblCellMar>
                          <w:top w:w="0" w:type="dxa"/>
                          <w:left w:w="0" w:type="dxa"/>
                          <w:bottom w:w="0" w:type="dxa"/>
                          <w:right w:w="0" w:type="dxa"/>
                        </w:tblCellMar>
                      </w:tblPr>
                      <w:tblGrid>
                        <w:gridCol w:w="185"/>
                        <w:gridCol w:w="7100"/>
                        <w:gridCol w:w="170"/>
                        <w:gridCol w:w="170"/>
                        <w:gridCol w:w="335"/>
                        <w:gridCol w:w="215"/>
                      </w:tblGrid>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CCR">
                              <w:r>
                                <w:rPr>
                                  <w:rStyle w:val="InternetLink"/>
                                  <w:rFonts w:ascii="Times New Roman;Times;serif" w:hAnsi="Times New Roman;Times;serif"/>
                                  <w:b/>
                                  <w:color w:val="000000"/>
                                  <w:sz w:val="18"/>
                                </w:rPr>
                                <w:t xml:space="preserve">Compensation Committee Report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CCR">
                              <w:r>
                                <w:rPr>
                                  <w:rStyle w:val="InternetLink"/>
                                  <w:rFonts w:ascii="Times New Roman;Times;serif" w:hAnsi="Times New Roman;Times;serif"/>
                                  <w:color w:val="000000"/>
                                  <w:sz w:val="18"/>
                                </w:rPr>
                                <w:t>43</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CCI">
                              <w:r>
                                <w:rPr>
                                  <w:rStyle w:val="InternetLink"/>
                                  <w:rFonts w:ascii="Times New Roman;Times;serif" w:hAnsi="Times New Roman;Times;serif"/>
                                  <w:b/>
                                  <w:color w:val="000000"/>
                                  <w:sz w:val="18"/>
                                </w:rPr>
                                <w:t>Compensation Committee Interlocks and Insider Participation in Compensation Decisions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CCI">
                              <w:r>
                                <w:rPr>
                                  <w:rStyle w:val="InternetLink"/>
                                  <w:rFonts w:ascii="Times New Roman;Times;serif" w:hAnsi="Times New Roman;Times;serif"/>
                                  <w:color w:val="000000"/>
                                  <w:sz w:val="18"/>
                                </w:rPr>
                                <w:t>43</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CPM">
                              <w:r>
                                <w:rPr>
                                  <w:rStyle w:val="InternetLink"/>
                                  <w:rFonts w:ascii="Times New Roman;Times;serif" w:hAnsi="Times New Roman;Times;serif"/>
                                  <w:b/>
                                  <w:color w:val="000000"/>
                                  <w:sz w:val="18"/>
                                </w:rPr>
                                <w:t>Compensation Programs and Risk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CPM">
                              <w:r>
                                <w:rPr>
                                  <w:rStyle w:val="InternetLink"/>
                                  <w:rFonts w:ascii="Times New Roman;Times;serif" w:hAnsi="Times New Roman;Times;serif"/>
                                  <w:color w:val="000000"/>
                                  <w:sz w:val="18"/>
                                </w:rPr>
                                <w:t>43</w:t>
                              </w:r>
                            </w:hyperlink>
                            <w:hyperlink w:anchor="tCPM">
                              <w:r>
                                <w:rPr>
                                  <w:rStyle w:val="InternetLink"/>
                                  <w:rFonts w:ascii="Times New Roman;Times;serif" w:hAnsi="Times New Roman;Times;serif"/>
                                  <w:color w:val="000000"/>
                                  <w:sz w:val="18"/>
                                </w:rPr>
                                <w:t xml:space="preserve"> </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EC">
                              <w:r>
                                <w:rPr>
                                  <w:rStyle w:val="InternetLink"/>
                                  <w:rFonts w:ascii="Times New Roman;Times;serif" w:hAnsi="Times New Roman;Times;serif"/>
                                  <w:b/>
                                  <w:color w:val="000000"/>
                                  <w:sz w:val="18"/>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EC">
                              <w:r>
                                <w:rPr>
                                  <w:rStyle w:val="InternetLink"/>
                                  <w:rFonts w:ascii="Times New Roman;Times;serif" w:hAnsi="Times New Roman;Times;serif"/>
                                  <w:color w:val="000000"/>
                                  <w:sz w:val="18"/>
                                </w:rPr>
                                <w:t>44</w:t>
                              </w:r>
                            </w:hyperlink>
                            <w:hyperlink w:anchor="tEC">
                              <w:r>
                                <w:rPr>
                                  <w:rStyle w:val="InternetLink"/>
                                  <w:rFonts w:ascii="Times New Roman;Times;serif" w:hAnsi="Times New Roman;Times;serif"/>
                                  <w:color w:val="000000"/>
                                  <w:sz w:val="18"/>
                                </w:rPr>
                                <w:t xml:space="preserve"> </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515" w:right="0" w:hanging="0"/>
                              <w:jc w:val="left"/>
                              <w:rPr/>
                            </w:pPr>
                            <w:hyperlink w:anchor="tSCT">
                              <w:r>
                                <w:rPr>
                                  <w:rStyle w:val="InternetLink"/>
                                  <w:rFonts w:ascii="Times New Roman;Times;serif" w:hAnsi="Times New Roman;Times;serif"/>
                                  <w:color w:val="000000"/>
                                  <w:sz w:val="18"/>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SCT">
                              <w:r>
                                <w:rPr>
                                  <w:rStyle w:val="InternetLink"/>
                                  <w:rFonts w:ascii="Times New Roman;Times;serif" w:hAnsi="Times New Roman;Times;serif"/>
                                  <w:color w:val="000000"/>
                                  <w:sz w:val="18"/>
                                </w:rPr>
                                <w:t>44</w:t>
                              </w:r>
                            </w:hyperlink>
                            <w:hyperlink w:anchor="tSCT">
                              <w:r>
                                <w:rPr>
                                  <w:rStyle w:val="InternetLink"/>
                                  <w:rFonts w:ascii="Times New Roman;Times;serif" w:hAnsi="Times New Roman;Times;serif"/>
                                  <w:color w:val="000000"/>
                                  <w:sz w:val="18"/>
                                </w:rPr>
                                <w:t xml:space="preserve"> </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515" w:right="0" w:hanging="0"/>
                              <w:jc w:val="left"/>
                              <w:rPr/>
                            </w:pPr>
                            <w:hyperlink w:anchor="tGP">
                              <w:r>
                                <w:rPr>
                                  <w:rStyle w:val="InternetLink"/>
                                  <w:rFonts w:ascii="Times New Roman;Times;serif" w:hAnsi="Times New Roman;Times;serif"/>
                                  <w:color w:val="000000"/>
                                  <w:sz w:val="18"/>
                                </w:rPr>
                                <w:t>Grants of Plan-Based Awards in Fiscal 2026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GP">
                              <w:r>
                                <w:rPr>
                                  <w:rStyle w:val="InternetLink"/>
                                  <w:rFonts w:ascii="Times New Roman;Times;serif" w:hAnsi="Times New Roman;Times;serif"/>
                                  <w:color w:val="000000"/>
                                  <w:sz w:val="18"/>
                                </w:rPr>
                                <w:t>46</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515" w:right="0" w:hanging="0"/>
                              <w:jc w:val="left"/>
                              <w:rPr/>
                            </w:pPr>
                            <w:hyperlink w:anchor="tNS">
                              <w:r>
                                <w:rPr>
                                  <w:rStyle w:val="InternetLink"/>
                                  <w:rFonts w:ascii="Times New Roman;Times;serif" w:hAnsi="Times New Roman;Times;serif"/>
                                  <w:color w:val="000000"/>
                                  <w:sz w:val="18"/>
                                </w:rPr>
                                <w:t>Narrative to the Summary Compensation Table and Grants of Plan-Based Awards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NS">
                              <w:r>
                                <w:rPr>
                                  <w:rStyle w:val="InternetLink"/>
                                  <w:rFonts w:ascii="Times New Roman;Times;serif" w:hAnsi="Times New Roman;Times;serif"/>
                                  <w:color w:val="000000"/>
                                  <w:sz w:val="18"/>
                                </w:rPr>
                                <w:t>47</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515" w:right="0" w:hanging="0"/>
                              <w:jc w:val="left"/>
                              <w:rPr/>
                            </w:pPr>
                            <w:hyperlink w:anchor="tOU">
                              <w:r>
                                <w:rPr>
                                  <w:rStyle w:val="InternetLink"/>
                                  <w:rFonts w:ascii="Times New Roman;Times;serif" w:hAnsi="Times New Roman;Times;serif"/>
                                  <w:color w:val="000000"/>
                                  <w:sz w:val="18"/>
                                </w:rPr>
                                <w:t>Outstanding Equity Awards at 2026 Fiscal Year-End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OU">
                              <w:r>
                                <w:rPr>
                                  <w:rStyle w:val="InternetLink"/>
                                  <w:rFonts w:ascii="Times New Roman;Times;serif" w:hAnsi="Times New Roman;Times;serif"/>
                                  <w:color w:val="000000"/>
                                  <w:sz w:val="18"/>
                                </w:rPr>
                                <w:t>50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515" w:right="0" w:hanging="0"/>
                              <w:jc w:val="left"/>
                              <w:rPr/>
                            </w:pPr>
                            <w:hyperlink w:anchor="tOE">
                              <w:r>
                                <w:rPr>
                                  <w:rStyle w:val="InternetLink"/>
                                  <w:rFonts w:ascii="Times New Roman;Times;serif" w:hAnsi="Times New Roman;Times;serif"/>
                                  <w:color w:val="000000"/>
                                  <w:sz w:val="18"/>
                                </w:rPr>
                                <w:t>Option Exercises and Stock Vested in Fiscal 2026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OE">
                              <w:r>
                                <w:rPr>
                                  <w:rStyle w:val="InternetLink"/>
                                  <w:rFonts w:ascii="Times New Roman;Times;serif" w:hAnsi="Times New Roman;Times;serif"/>
                                  <w:color w:val="000000"/>
                                  <w:sz w:val="18"/>
                                </w:rPr>
                                <w:t>52</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515" w:right="0" w:hanging="0"/>
                              <w:jc w:val="left"/>
                              <w:rPr/>
                            </w:pPr>
                            <w:hyperlink w:anchor="tND">
                              <w:r>
                                <w:rPr>
                                  <w:rStyle w:val="InternetLink"/>
                                  <w:rFonts w:ascii="Times New Roman;Times;serif" w:hAnsi="Times New Roman;Times;serif"/>
                                  <w:color w:val="000000"/>
                                  <w:sz w:val="18"/>
                                </w:rPr>
                                <w:t>Nonqualified Deferred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ND">
                              <w:r>
                                <w:rPr>
                                  <w:rStyle w:val="InternetLink"/>
                                  <w:rFonts w:ascii="Times New Roman;Times;serif" w:hAnsi="Times New Roman;Times;serif"/>
                                  <w:color w:val="000000"/>
                                  <w:sz w:val="18"/>
                                </w:rPr>
                                <w:t>52</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PP">
                              <w:r>
                                <w:rPr>
                                  <w:rStyle w:val="InternetLink"/>
                                  <w:rFonts w:ascii="Times New Roman;Times;serif" w:hAnsi="Times New Roman;Times;serif"/>
                                  <w:b/>
                                  <w:color w:val="000000"/>
                                  <w:sz w:val="18"/>
                                </w:rPr>
                                <w:t>Potential Payments upon Termination or Change of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PP">
                              <w:r>
                                <w:rPr>
                                  <w:rStyle w:val="InternetLink"/>
                                  <w:rFonts w:ascii="Times New Roman;Times;serif" w:hAnsi="Times New Roman;Times;serif"/>
                                  <w:color w:val="000000"/>
                                  <w:sz w:val="18"/>
                                </w:rPr>
                                <w:t>53</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CEO">
                              <w:r>
                                <w:rPr>
                                  <w:rStyle w:val="InternetLink"/>
                                  <w:rFonts w:ascii="Times New Roman;Times;serif" w:hAnsi="Times New Roman;Times;serif"/>
                                  <w:b/>
                                  <w:color w:val="000000"/>
                                  <w:sz w:val="18"/>
                                </w:rPr>
                                <w:t>CEO Pay Ratio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CEO">
                              <w:r>
                                <w:rPr>
                                  <w:rStyle w:val="InternetLink"/>
                                  <w:rFonts w:ascii="Times New Roman;Times;serif" w:hAnsi="Times New Roman;Times;serif"/>
                                  <w:color w:val="000000"/>
                                  <w:sz w:val="18"/>
                                </w:rPr>
                                <w:t>56</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PVP">
                              <w:r>
                                <w:rPr>
                                  <w:rStyle w:val="InternetLink"/>
                                  <w:rFonts w:ascii="Times New Roman;Times;serif" w:hAnsi="Times New Roman;Times;serif"/>
                                  <w:b/>
                                  <w:color w:val="000000"/>
                                  <w:sz w:val="18"/>
                                </w:rPr>
                                <w:t>Pay Versus Performance Disclosure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PVP">
                              <w:r>
                                <w:rPr>
                                  <w:rStyle w:val="InternetLink"/>
                                  <w:rFonts w:ascii="Times New Roman;Times;serif" w:hAnsi="Times New Roman;Times;serif"/>
                                  <w:color w:val="000000"/>
                                  <w:sz w:val="18"/>
                                </w:rPr>
                                <w:t>57</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ECP">
                              <w:r>
                                <w:rPr>
                                  <w:rStyle w:val="InternetLink"/>
                                  <w:rFonts w:ascii="Times New Roman;Times;serif" w:hAnsi="Times New Roman;Times;serif"/>
                                  <w:b/>
                                  <w:color w:val="000000"/>
                                  <w:sz w:val="18"/>
                                </w:rPr>
                                <w:t xml:space="preserve">Equity Compensation Plan Information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ECP">
                              <w:r>
                                <w:rPr>
                                  <w:rStyle w:val="InternetLink"/>
                                  <w:rFonts w:ascii="Times New Roman;Times;serif" w:hAnsi="Times New Roman;Times;serif"/>
                                  <w:color w:val="000000"/>
                                  <w:sz w:val="18"/>
                                </w:rPr>
                                <w:t>60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DC">
                              <w:r>
                                <w:rPr>
                                  <w:rStyle w:val="InternetLink"/>
                                  <w:rFonts w:ascii="Times New Roman;Times;serif" w:hAnsi="Times New Roman;Times;serif"/>
                                  <w:b/>
                                  <w:color w:val="000000"/>
                                  <w:sz w:val="18"/>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DC">
                              <w:r>
                                <w:rPr>
                                  <w:rStyle w:val="InternetLink"/>
                                  <w:rFonts w:ascii="Times New Roman;Times;serif" w:hAnsi="Times New Roman;Times;serif"/>
                                  <w:color w:val="000000"/>
                                  <w:sz w:val="18"/>
                                </w:rPr>
                                <w:t>61</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515" w:right="0" w:hanging="0"/>
                              <w:jc w:val="left"/>
                              <w:rPr/>
                            </w:pPr>
                            <w:hyperlink w:anchor="tCR">
                              <w:r>
                                <w:rPr>
                                  <w:rStyle w:val="InternetLink"/>
                                  <w:rFonts w:ascii="Times New Roman;Times;serif" w:hAnsi="Times New Roman;Times;serif"/>
                                  <w:color w:val="000000"/>
                                  <w:sz w:val="18"/>
                                </w:rPr>
                                <w:t>Certain Relationships and Related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CR">
                              <w:r>
                                <w:rPr>
                                  <w:rStyle w:val="InternetLink"/>
                                  <w:rFonts w:ascii="Times New Roman;Times;serif" w:hAnsi="Times New Roman;Times;serif"/>
                                  <w:color w:val="000000"/>
                                  <w:sz w:val="18"/>
                                </w:rPr>
                                <w:t>62</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ROA">
                              <w:r>
                                <w:rPr>
                                  <w:rStyle w:val="InternetLink"/>
                                  <w:rFonts w:ascii="Times New Roman;Times;serif" w:hAnsi="Times New Roman;Times;serif"/>
                                  <w:b/>
                                  <w:color w:val="000000"/>
                                  <w:sz w:val="18"/>
                                </w:rPr>
                                <w:t>Report of the Audit Committee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ROA">
                              <w:r>
                                <w:rPr>
                                  <w:rStyle w:val="InternetLink"/>
                                  <w:rFonts w:ascii="Times New Roman;Times;serif" w:hAnsi="Times New Roman;Times;serif"/>
                                  <w:color w:val="000000"/>
                                  <w:sz w:val="18"/>
                                </w:rPr>
                                <w:t>64</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PROP2">
                              <w:r>
                                <w:rPr>
                                  <w:rStyle w:val="InternetLink"/>
                                  <w:rFonts w:ascii="Times New Roman;Times;serif" w:hAnsi="Times New Roman;Times;serif"/>
                                  <w:b/>
                                  <w:color w:val="000000"/>
                                  <w:sz w:val="18"/>
                                </w:rPr>
                                <w:t>Proposal 2: Ratification of Appointment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PROP2">
                              <w:r>
                                <w:rPr>
                                  <w:rStyle w:val="InternetLink"/>
                                  <w:rFonts w:ascii="Times New Roman;Times;serif" w:hAnsi="Times New Roman;Times;serif"/>
                                  <w:color w:val="000000"/>
                                  <w:sz w:val="18"/>
                                </w:rPr>
                                <w:t>65</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515" w:right="0" w:hanging="0"/>
                              <w:jc w:val="left"/>
                              <w:rPr/>
                            </w:pPr>
                            <w:hyperlink w:anchor="tIAF">
                              <w:r>
                                <w:rPr>
                                  <w:rStyle w:val="InternetLink"/>
                                  <w:rFonts w:ascii="Times New Roman;Times;serif" w:hAnsi="Times New Roman;Times;serif"/>
                                  <w:color w:val="000000"/>
                                  <w:sz w:val="18"/>
                                </w:rPr>
                                <w:t>Independent Auditor Fees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IAF">
                              <w:r>
                                <w:rPr>
                                  <w:rStyle w:val="InternetLink"/>
                                  <w:rFonts w:ascii="Times New Roman;Times;serif" w:hAnsi="Times New Roman;Times;serif"/>
                                  <w:color w:val="000000"/>
                                  <w:sz w:val="18"/>
                                </w:rPr>
                                <w:t>65</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515" w:right="0" w:hanging="0"/>
                              <w:jc w:val="left"/>
                              <w:rPr/>
                            </w:pPr>
                            <w:hyperlink w:anchor="tPRE">
                              <w:r>
                                <w:rPr>
                                  <w:rStyle w:val="InternetLink"/>
                                  <w:rFonts w:ascii="Times New Roman;Times;serif" w:hAnsi="Times New Roman;Times;serif"/>
                                  <w:color w:val="000000"/>
                                  <w:sz w:val="18"/>
                                </w:rPr>
                                <w:t>Pre-Approval Procedures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PRE">
                              <w:r>
                                <w:rPr>
                                  <w:rStyle w:val="InternetLink"/>
                                  <w:rFonts w:ascii="Times New Roman;Times;serif" w:hAnsi="Times New Roman;Times;serif"/>
                                  <w:color w:val="000000"/>
                                  <w:sz w:val="18"/>
                                </w:rPr>
                                <w:t>65</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PROP3">
                              <w:r>
                                <w:rPr>
                                  <w:rStyle w:val="InternetLink"/>
                                  <w:rFonts w:ascii="Times New Roman;Times;serif" w:hAnsi="Times New Roman;Times;serif"/>
                                  <w:b/>
                                  <w:color w:val="000000"/>
                                  <w:sz w:val="18"/>
                                </w:rPr>
                                <w:t>Proposal 3: Advisory Vote on our Named Executive Officer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PROP3">
                              <w:r>
                                <w:rPr>
                                  <w:rStyle w:val="InternetLink"/>
                                  <w:rFonts w:ascii="Times New Roman;Times;serif" w:hAnsi="Times New Roman;Times;serif"/>
                                  <w:color w:val="000000"/>
                                  <w:sz w:val="18"/>
                                </w:rPr>
                                <w:t>66</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PROP4">
                              <w:r>
                                <w:rPr>
                                  <w:rStyle w:val="InternetLink"/>
                                  <w:rFonts w:ascii="Times New Roman;Times;serif" w:hAnsi="Times New Roman;Times;serif"/>
                                  <w:b/>
                                  <w:color w:val="000000"/>
                                  <w:sz w:val="18"/>
                                </w:rPr>
                                <w:t>Proposal 4: Shareholder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PROP4">
                              <w:r>
                                <w:rPr>
                                  <w:rStyle w:val="InternetLink"/>
                                  <w:rFonts w:ascii="Times New Roman;Times;serif" w:hAnsi="Times New Roman;Times;serif"/>
                                  <w:color w:val="000000"/>
                                  <w:sz w:val="18"/>
                                </w:rPr>
                                <w:t>67</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AR">
                              <w:r>
                                <w:rPr>
                                  <w:rStyle w:val="InternetLink"/>
                                  <w:rFonts w:ascii="Times New Roman;Times;serif" w:hAnsi="Times New Roman;Times;serif"/>
                                  <w:b/>
                                  <w:color w:val="000000"/>
                                  <w:sz w:val="18"/>
                                </w:rPr>
                                <w:t>Annual Reports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AR">
                              <w:r>
                                <w:rPr>
                                  <w:rStyle w:val="InternetLink"/>
                                  <w:rFonts w:ascii="Times New Roman;Times;serif" w:hAnsi="Times New Roman;Times;serif"/>
                                  <w:color w:val="000000"/>
                                  <w:sz w:val="18"/>
                                </w:rPr>
                                <w:t>69</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SS">
                              <w:r>
                                <w:rPr>
                                  <w:rStyle w:val="InternetLink"/>
                                  <w:rFonts w:ascii="Times New Roman;Times;serif" w:hAnsi="Times New Roman;Times;serif"/>
                                  <w:b/>
                                  <w:color w:val="000000"/>
                                  <w:sz w:val="18"/>
                                </w:rPr>
                                <w:t>Shareholders Sharing an Address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SS">
                              <w:r>
                                <w:rPr>
                                  <w:rStyle w:val="InternetLink"/>
                                  <w:rFonts w:ascii="Times New Roman;Times;serif" w:hAnsi="Times New Roman;Times;serif"/>
                                  <w:color w:val="000000"/>
                                  <w:sz w:val="18"/>
                                </w:rPr>
                                <w:t>69</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SSP">
                              <w:r>
                                <w:rPr>
                                  <w:rStyle w:val="InternetLink"/>
                                  <w:rFonts w:ascii="Times New Roman;Times;serif" w:hAnsi="Times New Roman;Times;serif"/>
                                  <w:b/>
                                  <w:color w:val="000000"/>
                                  <w:sz w:val="18"/>
                                </w:rPr>
                                <w:t>Submission of Shareholder Proposals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SSP">
                              <w:r>
                                <w:rPr>
                                  <w:rStyle w:val="InternetLink"/>
                                  <w:rFonts w:ascii="Times New Roman;Times;serif" w:hAnsi="Times New Roman;Times;serif"/>
                                  <w:color w:val="000000"/>
                                  <w:sz w:val="18"/>
                                </w:rPr>
                                <w:t>69</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PS">
                              <w:r>
                                <w:rPr>
                                  <w:rStyle w:val="InternetLink"/>
                                  <w:rFonts w:ascii="Times New Roman;Times;serif" w:hAnsi="Times New Roman;Times;serif"/>
                                  <w:b/>
                                  <w:color w:val="000000"/>
                                  <w:sz w:val="18"/>
                                </w:rPr>
                                <w:t>Proxy Solicitation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PS">
                              <w:r>
                                <w:rPr>
                                  <w:rStyle w:val="InternetLink"/>
                                  <w:rFonts w:ascii="Times New Roman;Times;serif" w:hAnsi="Times New Roman;Times;serif"/>
                                  <w:color w:val="000000"/>
                                  <w:sz w:val="18"/>
                                </w:rPr>
                                <w:t>70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OM">
                              <w:r>
                                <w:rPr>
                                  <w:rStyle w:val="InternetLink"/>
                                  <w:rFonts w:ascii="Times New Roman;Times;serif" w:hAnsi="Times New Roman;Times;serif"/>
                                  <w:b/>
                                  <w:color w:val="000000"/>
                                  <w:sz w:val="18"/>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OM">
                              <w:r>
                                <w:rPr>
                                  <w:rStyle w:val="InternetLink"/>
                                  <w:rFonts w:ascii="Times New Roman;Times;serif" w:hAnsi="Times New Roman;Times;serif"/>
                                  <w:color w:val="000000"/>
                                  <w:sz w:val="18"/>
                                </w:rPr>
                                <w:t>70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FLS">
                              <w:r>
                                <w:rPr>
                                  <w:rStyle w:val="InternetLink"/>
                                  <w:rFonts w:ascii="Times New Roman;Times;serif" w:hAnsi="Times New Roman;Times;serif"/>
                                  <w:b/>
                                  <w:color w:val="000000"/>
                                  <w:sz w:val="18"/>
                                </w:rPr>
                                <w:t>Forward-Looking Statements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FLS">
                              <w:r>
                                <w:rPr>
                                  <w:rStyle w:val="InternetLink"/>
                                  <w:rFonts w:ascii="Times New Roman;Times;serif" w:hAnsi="Times New Roman;Times;serif"/>
                                  <w:color w:val="000000"/>
                                  <w:sz w:val="18"/>
                                </w:rPr>
                                <w:t>70</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35" w:right="0" w:hanging="0"/>
                              <w:jc w:val="left"/>
                              <w:rPr/>
                            </w:pPr>
                            <w:hyperlink w:anchor="tAPPA">
                              <w:r>
                                <w:rPr>
                                  <w:rStyle w:val="InternetLink"/>
                                  <w:rFonts w:ascii="Times New Roman;Times;serif" w:hAnsi="Times New Roman;Times;serif"/>
                                  <w:b/>
                                  <w:color w:val="000000"/>
                                  <w:sz w:val="18"/>
                                </w:rPr>
                                <w:t>Appendix A: Non-GAAP reconciliations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60" w:right="0" w:hanging="0"/>
                              <w:jc w:val="left"/>
                              <w:rPr/>
                            </w:pPr>
                            <w:hyperlink w:anchor="tAPPA">
                              <w:r>
                                <w:rPr>
                                  <w:rStyle w:val="InternetLink"/>
                                  <w:rFonts w:ascii="Times New Roman;Times;serif" w:hAnsi="Times New Roman;Times;serif"/>
                                  <w:color w:val="000000"/>
                                  <w:sz w:val="18"/>
                                </w:rPr>
                                <w:t>A-1</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jc w:val="left"/>
        <w:rPr/>
      </w:pPr>
      <w:hyperlink w:anchor="TOC">
        <w:bookmarkStart w:id="10" w:name="ny20072699x1_def14a_103-summary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bookmarkStart w:id="11" w:name="tPSS"/>
      <w:bookmarkEnd w:id="11"/>
      <w:r>
        <w:rPr>
          <w:rFonts w:ascii="Times New Roman;Times;serif" w:hAnsi="Times New Roman;Times;serif"/>
          <w:b/>
          <w:color w:val="000000"/>
          <w:sz w:val="24"/>
          <w:u w:val="single"/>
        </w:rPr>
        <w:t>PROXY STATEMENT SUMMARY</w:t>
      </w:r>
      <w:r>
        <w:rPr>
          <w:rFonts w:ascii="Times New Roman;Times;serif" w:hAnsi="Times New Roman;Times;serif"/>
          <w:b/>
          <w:color w:val="000000"/>
          <w:sz w:val="24"/>
        </w:rPr>
        <w:t xml:space="preserve"> </w:t>
      </w:r>
    </w:p>
    <w:p>
      <w:pPr>
        <w:pStyle w:val="TextBody"/>
        <w:bidi w:val="0"/>
        <w:spacing w:before="280" w:after="283"/>
        <w:jc w:val="center"/>
        <w:rPr>
          <w:rFonts w:ascii="Times New Roman;Times;serif" w:hAnsi="Times New Roman;Times;serif"/>
          <w:b/>
          <w:color w:val="000000"/>
          <w:sz w:val="20"/>
        </w:rPr>
      </w:pPr>
      <w:bookmarkStart w:id="12" w:name="tFYS"/>
      <w:bookmarkEnd w:id="12"/>
      <w:r>
        <w:rPr>
          <w:rFonts w:ascii="Times New Roman;Times;serif" w:hAnsi="Times New Roman;Times;serif"/>
          <w:b/>
          <w:color w:val="000000"/>
          <w:sz w:val="20"/>
          <w:u w:val="single"/>
        </w:rPr>
        <w:t>2026 FISCAL YEAR FINANCIAL SUMMARY</w:t>
      </w:r>
      <w:r>
        <w:rPr>
          <w:rFonts w:ascii="Times New Roman;Times;serif" w:hAnsi="Times New Roman;Times;serif"/>
          <w:b/>
          <w:color w:val="000000"/>
          <w:sz w:val="20"/>
        </w:rPr>
        <w:t xml:space="preserve"> </w:t>
      </w:r>
    </w:p>
    <w:p>
      <w:pPr>
        <w:pStyle w:val="TextBody"/>
        <w:bidi w:val="0"/>
        <w:spacing w:before="20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Casey’s is the third largest convenience store retailer in the United States – highlights include: </w:t>
      </w:r>
    </w:p>
    <w:tbl>
      <w:tblPr>
        <w:tblW w:w="7710" w:type="dxa"/>
        <w:jc w:val="left"/>
        <w:tblInd w:w="0" w:type="dxa"/>
        <w:tblLayout w:type="fixed"/>
        <w:tblCellMar>
          <w:top w:w="0" w:type="dxa"/>
          <w:left w:w="0" w:type="dxa"/>
          <w:bottom w:w="0" w:type="dxa"/>
          <w:right w:w="0" w:type="dxa"/>
        </w:tblCellMar>
      </w:tblPr>
      <w:tblGrid>
        <w:gridCol w:w="185"/>
        <w:gridCol w:w="590"/>
        <w:gridCol w:w="170"/>
        <w:gridCol w:w="170"/>
        <w:gridCol w:w="845"/>
        <w:gridCol w:w="170"/>
        <w:gridCol w:w="170"/>
        <w:gridCol w:w="1160"/>
        <w:gridCol w:w="170"/>
        <w:gridCol w:w="170"/>
        <w:gridCol w:w="1340"/>
        <w:gridCol w:w="170"/>
        <w:gridCol w:w="170"/>
        <w:gridCol w:w="2015"/>
        <w:gridCol w:w="215"/>
      </w:tblGrid>
      <w:tr>
        <w:trPr/>
        <w:tc>
          <w:tcPr>
            <w:tcW w:w="185" w:type="dxa"/>
            <w:tcBorders/>
            <w:shd w:fill="D9D9D9" w:val="clear"/>
            <w:vAlign w:val="center"/>
          </w:tcPr>
          <w:p>
            <w:pPr>
              <w:pStyle w:val="TableContents"/>
              <w:bidi w:val="0"/>
              <w:spacing w:before="0" w:after="0"/>
              <w:jc w:val="left"/>
              <w:rPr/>
            </w:pPr>
            <w:r>
              <w:rPr/>
              <w:t> </w:t>
            </w:r>
          </w:p>
        </w:tc>
        <w:tc>
          <w:tcPr>
            <w:tcW w:w="7310" w:type="dxa"/>
            <w:gridSpan w:val="13"/>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7310" w:type="dxa"/>
            <w:gridSpan w:val="13"/>
            <w:tcBorders>
              <w:bottom w:val="single" w:sz="8" w:space="0" w:color="000000"/>
            </w:tcBorders>
            <w:shd w:fill="D9D9D9" w:val="clear"/>
            <w:tcMar>
              <w:bottom w:w="4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Casey’s – At-a-Glance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40" w:after="283"/>
              <w:jc w:val="center"/>
              <w:rPr>
                <w:rFonts w:ascii="Times New Roman;Times;serif" w:hAnsi="Times New Roman;Times;serif"/>
                <w:b/>
                <w:color w:val="000000"/>
                <w:sz w:val="24"/>
              </w:rPr>
            </w:pPr>
            <w:r>
              <w:rPr>
                <w:rFonts w:ascii="Times New Roman;Times;serif" w:hAnsi="Times New Roman;Times;serif"/>
                <w:b/>
                <w:color w:val="000000"/>
                <w:sz w:val="24"/>
              </w:rPr>
              <w:t>2,944</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Stores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40" w:after="283"/>
              <w:jc w:val="center"/>
              <w:rPr>
                <w:rFonts w:ascii="Times New Roman;Times;serif" w:hAnsi="Times New Roman;Times;serif"/>
                <w:b/>
                <w:color w:val="000000"/>
                <w:sz w:val="24"/>
              </w:rPr>
            </w:pPr>
            <w:r>
              <w:rPr>
                <w:rFonts w:ascii="Times New Roman;Times;serif" w:hAnsi="Times New Roman;Times;serif"/>
                <w:b/>
                <w:color w:val="000000"/>
                <w:sz w:val="24"/>
              </w:rPr>
              <w:t>19</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U.S. States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40" w:after="283"/>
              <w:jc w:val="center"/>
              <w:rPr>
                <w:rFonts w:ascii="Times New Roman;Times;serif" w:hAnsi="Times New Roman;Times;serif"/>
                <w:b/>
                <w:color w:val="000000"/>
                <w:sz w:val="24"/>
              </w:rPr>
            </w:pPr>
            <w:r>
              <w:rPr>
                <w:rFonts w:ascii="Times New Roman;Times;serif" w:hAnsi="Times New Roman;Times;serif"/>
                <w:b/>
                <w:color w:val="000000"/>
                <w:sz w:val="24"/>
              </w:rPr>
              <w:t>50,000</w:t>
            </w:r>
            <w:r>
              <w:rPr>
                <w:rFonts w:ascii="Times New Roman;Times;serif" w:hAnsi="Times New Roman;Times;serif"/>
                <w:b w:val="false"/>
                <w:color w:val="000000"/>
                <w:sz w:val="24"/>
              </w:rPr>
              <w:t>+</w:t>
            </w:r>
            <w:r>
              <w:rPr>
                <w:rFonts w:ascii="Times New Roman;Times;serif" w:hAnsi="Times New Roman;Times;serif"/>
                <w:b/>
                <w:color w:val="000000"/>
                <w:sz w:val="24"/>
              </w:rPr>
              <w:t xml:space="preserve">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Team Members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4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$17.6 billion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FY26 Revenue</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4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10.5 million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Casey’s Rewards Members</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4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6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4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1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Casey’s once again delivered exceptional performance for its shareholders during the 2026 fiscal year – highlights include (as compared to the 2025 fiscal year-end): </w:t>
      </w:r>
    </w:p>
    <w:tbl>
      <w:tblPr>
        <w:tblW w:w="10205" w:type="dxa"/>
        <w:jc w:val="left"/>
        <w:tblInd w:w="0" w:type="dxa"/>
        <w:tblLayout w:type="fixed"/>
        <w:tblCellMar>
          <w:top w:w="0" w:type="dxa"/>
          <w:left w:w="0" w:type="dxa"/>
          <w:bottom w:w="0" w:type="dxa"/>
          <w:right w:w="0" w:type="dxa"/>
        </w:tblCellMar>
      </w:tblPr>
      <w:tblGrid>
        <w:gridCol w:w="185"/>
        <w:gridCol w:w="2344"/>
        <w:gridCol w:w="272"/>
        <w:gridCol w:w="272"/>
        <w:gridCol w:w="2055"/>
        <w:gridCol w:w="272"/>
        <w:gridCol w:w="272"/>
        <w:gridCol w:w="1863"/>
        <w:gridCol w:w="272"/>
        <w:gridCol w:w="272"/>
        <w:gridCol w:w="1904"/>
        <w:gridCol w:w="222"/>
      </w:tblGrid>
      <w:tr>
        <w:trPr/>
        <w:tc>
          <w:tcPr>
            <w:tcW w:w="185" w:type="dxa"/>
            <w:tcBorders/>
            <w:shd w:fill="D9D9D9" w:val="clear"/>
            <w:vAlign w:val="center"/>
          </w:tcPr>
          <w:p>
            <w:pPr>
              <w:pStyle w:val="TableContents"/>
              <w:bidi w:val="0"/>
              <w:spacing w:before="0" w:after="0"/>
              <w:jc w:val="left"/>
              <w:rPr/>
            </w:pPr>
            <w:r>
              <w:rPr/>
              <w:t> </w:t>
            </w:r>
          </w:p>
        </w:tc>
        <w:tc>
          <w:tcPr>
            <w:tcW w:w="2344" w:type="dxa"/>
            <w:tcBorders/>
            <w:shd w:fill="D9D9D9" w:val="clear"/>
            <w:vAlign w:val="center"/>
          </w:tcPr>
          <w:p>
            <w:pPr>
              <w:pStyle w:val="TableContents"/>
              <w:bidi w:val="0"/>
              <w:spacing w:before="0" w:after="0"/>
              <w:jc w:val="left"/>
              <w:rPr/>
            </w:pPr>
            <w:r>
              <w:rPr/>
              <w:t> </w:t>
            </w:r>
          </w:p>
        </w:tc>
        <w:tc>
          <w:tcPr>
            <w:tcW w:w="272"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272" w:type="dxa"/>
            <w:tcBorders/>
            <w:shd w:fill="D9D9D9" w:val="clear"/>
            <w:vAlign w:val="center"/>
          </w:tcPr>
          <w:p>
            <w:pPr>
              <w:pStyle w:val="TableContents"/>
              <w:bidi w:val="0"/>
              <w:spacing w:before="0" w:after="0"/>
              <w:jc w:val="left"/>
              <w:rPr/>
            </w:pPr>
            <w:r>
              <w:rPr/>
              <w:t> </w:t>
            </w:r>
          </w:p>
        </w:tc>
        <w:tc>
          <w:tcPr>
            <w:tcW w:w="2055" w:type="dxa"/>
            <w:tcBorders/>
            <w:shd w:fill="D9D9D9" w:val="clear"/>
            <w:vAlign w:val="center"/>
          </w:tcPr>
          <w:p>
            <w:pPr>
              <w:pStyle w:val="TableContents"/>
              <w:bidi w:val="0"/>
              <w:spacing w:before="0" w:after="0"/>
              <w:jc w:val="left"/>
              <w:rPr/>
            </w:pPr>
            <w:r>
              <w:rPr/>
              <w:t> </w:t>
            </w:r>
          </w:p>
        </w:tc>
        <w:tc>
          <w:tcPr>
            <w:tcW w:w="272"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272" w:type="dxa"/>
            <w:tcBorders/>
            <w:shd w:fill="D9D9D9" w:val="clear"/>
            <w:vAlign w:val="center"/>
          </w:tcPr>
          <w:p>
            <w:pPr>
              <w:pStyle w:val="TableContents"/>
              <w:bidi w:val="0"/>
              <w:spacing w:before="0" w:after="0"/>
              <w:jc w:val="left"/>
              <w:rPr/>
            </w:pPr>
            <w:r>
              <w:rPr/>
              <w:t> </w:t>
            </w:r>
          </w:p>
        </w:tc>
        <w:tc>
          <w:tcPr>
            <w:tcW w:w="1863" w:type="dxa"/>
            <w:tcBorders/>
            <w:shd w:fill="D9D9D9" w:val="clear"/>
            <w:vAlign w:val="center"/>
          </w:tcPr>
          <w:p>
            <w:pPr>
              <w:pStyle w:val="TableContents"/>
              <w:bidi w:val="0"/>
              <w:spacing w:before="0" w:after="0"/>
              <w:jc w:val="left"/>
              <w:rPr/>
            </w:pPr>
            <w:r>
              <w:rPr/>
              <w:t> </w:t>
            </w:r>
          </w:p>
        </w:tc>
        <w:tc>
          <w:tcPr>
            <w:tcW w:w="272"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272" w:type="dxa"/>
            <w:tcBorders/>
            <w:shd w:fill="D9D9D9" w:val="clear"/>
            <w:vAlign w:val="center"/>
          </w:tcPr>
          <w:p>
            <w:pPr>
              <w:pStyle w:val="TableContents"/>
              <w:bidi w:val="0"/>
              <w:spacing w:before="0" w:after="0"/>
              <w:jc w:val="left"/>
              <w:rPr/>
            </w:pPr>
            <w:r>
              <w:rPr/>
              <w:t> </w:t>
            </w:r>
          </w:p>
        </w:tc>
        <w:tc>
          <w:tcPr>
            <w:tcW w:w="1904" w:type="dxa"/>
            <w:tcBorders/>
            <w:shd w:fill="D9D9D9" w:val="clear"/>
            <w:vAlign w:val="center"/>
          </w:tcPr>
          <w:p>
            <w:pPr>
              <w:pStyle w:val="TableContents"/>
              <w:bidi w:val="0"/>
              <w:spacing w:before="0" w:after="0"/>
              <w:jc w:val="left"/>
              <w:rPr/>
            </w:pPr>
            <w:r>
              <w:rPr/>
              <w:t> </w:t>
            </w:r>
          </w:p>
        </w:tc>
        <w:tc>
          <w:tcPr>
            <w:tcW w:w="222"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2344" w:type="dxa"/>
            <w:tcBorders>
              <w:bottom w:val="single" w:sz="8" w:space="0" w:color="000000"/>
            </w:tcBorders>
            <w:shd w:fill="D9D9D9" w:val="clear"/>
            <w:tcMar>
              <w:bottom w:w="4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Net Income</w:t>
            </w:r>
          </w:p>
        </w:tc>
        <w:tc>
          <w:tcPr>
            <w:tcW w:w="272"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272"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2055" w:type="dxa"/>
            <w:tcBorders>
              <w:bottom w:val="single" w:sz="8" w:space="0" w:color="000000"/>
            </w:tcBorders>
            <w:shd w:fill="D9D9D9" w:val="clear"/>
            <w:tcMar>
              <w:bottom w:w="4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EBITDA</w:t>
            </w:r>
            <w:r>
              <w:rPr>
                <w:rFonts w:ascii="Times New Roman;Times;serif" w:hAnsi="Times New Roman;Times;serif"/>
                <w:b/>
                <w:color w:val="000000"/>
                <w:position w:val="6"/>
                <w:sz w:val="14"/>
                <w:sz w:val="18"/>
              </w:rPr>
              <w:t>*</w:t>
            </w:r>
          </w:p>
        </w:tc>
        <w:tc>
          <w:tcPr>
            <w:tcW w:w="272"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272"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863" w:type="dxa"/>
            <w:tcBorders>
              <w:bottom w:val="single" w:sz="8" w:space="0" w:color="000000"/>
            </w:tcBorders>
            <w:shd w:fill="D9D9D9" w:val="clear"/>
            <w:tcMar>
              <w:bottom w:w="4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Share Price</w:t>
            </w:r>
          </w:p>
        </w:tc>
        <w:tc>
          <w:tcPr>
            <w:tcW w:w="272"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272"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904" w:type="dxa"/>
            <w:tcBorders>
              <w:bottom w:val="single" w:sz="8" w:space="0" w:color="000000"/>
            </w:tcBorders>
            <w:shd w:fill="D9D9D9" w:val="clear"/>
            <w:tcMar>
              <w:bottom w:w="4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Diluted EPS </w:t>
            </w:r>
          </w:p>
        </w:tc>
        <w:tc>
          <w:tcPr>
            <w:tcW w:w="222"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344" w:type="dxa"/>
            <w:tcBorders>
              <w:bottom w:val="single" w:sz="8" w:space="0" w:color="000000"/>
            </w:tcBorders>
            <w:tcMar>
              <w:bottom w:w="45" w:type="dxa"/>
            </w:tcMar>
            <w:vAlign w:val="center"/>
          </w:tcPr>
          <w:p>
            <w:pPr>
              <w:pStyle w:val="TableContents"/>
              <w:bidi w:val="0"/>
              <w:spacing w:before="40" w:after="283"/>
              <w:jc w:val="center"/>
              <w:rPr>
                <w:rFonts w:ascii="Times New Roman;Times;serif" w:hAnsi="Times New Roman;Times;serif"/>
                <w:b/>
                <w:color w:val="000000"/>
                <w:sz w:val="24"/>
              </w:rPr>
            </w:pPr>
            <w:r>
              <w:rPr>
                <w:rFonts w:ascii="Times New Roman;Times;serif" w:hAnsi="Times New Roman;Times;serif"/>
                <w:b/>
                <w:color w:val="000000"/>
                <w:sz w:val="24"/>
              </w:rPr>
              <w:t>$714.4 million</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$546.5 million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(FY25)</w:t>
            </w:r>
          </w:p>
        </w:tc>
        <w:tc>
          <w:tcPr>
            <w:tcW w:w="272"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72" w:type="dxa"/>
            <w:tcBorders>
              <w:bottom w:val="single" w:sz="8" w:space="0" w:color="000000"/>
            </w:tcBorders>
            <w:tcMar>
              <w:bottom w:w="28" w:type="dxa"/>
            </w:tcMar>
            <w:vAlign w:val="center"/>
          </w:tcPr>
          <w:p>
            <w:pPr>
              <w:pStyle w:val="TableContents"/>
              <w:bidi w:val="0"/>
              <w:spacing w:before="0" w:after="0"/>
              <w:jc w:val="left"/>
              <w:rPr/>
            </w:pPr>
            <w:r>
              <w:rPr/>
              <w:t> </w:t>
            </w:r>
          </w:p>
        </w:tc>
        <w:tc>
          <w:tcPr>
            <w:tcW w:w="2055" w:type="dxa"/>
            <w:tcBorders>
              <w:bottom w:val="single" w:sz="8" w:space="0" w:color="000000"/>
            </w:tcBorders>
            <w:tcMar>
              <w:bottom w:w="45" w:type="dxa"/>
            </w:tcMar>
            <w:vAlign w:val="center"/>
          </w:tcPr>
          <w:p>
            <w:pPr>
              <w:pStyle w:val="TableContents"/>
              <w:bidi w:val="0"/>
              <w:spacing w:before="40" w:after="283"/>
              <w:jc w:val="center"/>
              <w:rPr>
                <w:rFonts w:ascii="Times New Roman;Times;serif" w:hAnsi="Times New Roman;Times;serif"/>
                <w:b/>
                <w:color w:val="000000"/>
                <w:sz w:val="24"/>
              </w:rPr>
            </w:pPr>
            <w:r>
              <w:rPr>
                <w:rFonts w:ascii="Times New Roman;Times;serif" w:hAnsi="Times New Roman;Times;serif"/>
                <w:b/>
                <w:color w:val="000000"/>
                <w:sz w:val="24"/>
              </w:rPr>
              <w:t>$1.48 billion</w:t>
            </w:r>
          </w:p>
          <w:p>
            <w:pPr>
              <w:pStyle w:val="TableContents"/>
              <w:bidi w:val="0"/>
              <w:spacing w:before="0" w:after="283"/>
              <w:jc w:val="center"/>
              <w:rPr>
                <w:color w:val="000000"/>
              </w:rPr>
            </w:pPr>
            <w:r>
              <w:rPr>
                <w:color w:val="000000"/>
              </w:rPr>
              <w:t> </w:t>
            </w:r>
          </w:p>
          <w:p>
            <w:pPr>
              <w:pStyle w:val="TableContents"/>
              <w:bidi w:val="0"/>
              <w:spacing w:before="0" w:after="283"/>
              <w:jc w:val="center"/>
              <w:rPr>
                <w:color w:val="000000"/>
              </w:rPr>
            </w:pPr>
            <w:r>
              <w:rPr>
                <w:color w:val="000000"/>
              </w:rPr>
              <w:t>↑</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$1.2 billion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(FY25)</w:t>
            </w:r>
          </w:p>
        </w:tc>
        <w:tc>
          <w:tcPr>
            <w:tcW w:w="272"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72" w:type="dxa"/>
            <w:tcBorders>
              <w:bottom w:val="single" w:sz="8" w:space="0" w:color="000000"/>
            </w:tcBorders>
            <w:tcMar>
              <w:bottom w:w="28" w:type="dxa"/>
            </w:tcMar>
            <w:vAlign w:val="center"/>
          </w:tcPr>
          <w:p>
            <w:pPr>
              <w:pStyle w:val="TableContents"/>
              <w:bidi w:val="0"/>
              <w:spacing w:before="0" w:after="0"/>
              <w:jc w:val="left"/>
              <w:rPr/>
            </w:pPr>
            <w:r>
              <w:rPr/>
              <w:t> </w:t>
            </w:r>
          </w:p>
        </w:tc>
        <w:tc>
          <w:tcPr>
            <w:tcW w:w="1863" w:type="dxa"/>
            <w:tcBorders>
              <w:bottom w:val="single" w:sz="8" w:space="0" w:color="000000"/>
            </w:tcBorders>
            <w:tcMar>
              <w:bottom w:w="45" w:type="dxa"/>
            </w:tcMar>
            <w:vAlign w:val="center"/>
          </w:tcPr>
          <w:p>
            <w:pPr>
              <w:pStyle w:val="TableContents"/>
              <w:bidi w:val="0"/>
              <w:spacing w:before="40" w:after="283"/>
              <w:jc w:val="center"/>
              <w:rPr>
                <w:rFonts w:ascii="Times New Roman;Times;serif" w:hAnsi="Times New Roman;Times;serif"/>
                <w:b/>
                <w:color w:val="000000"/>
                <w:sz w:val="24"/>
              </w:rPr>
            </w:pPr>
            <w:r>
              <w:rPr>
                <w:rFonts w:ascii="Times New Roman;Times;serif" w:hAnsi="Times New Roman;Times;serif"/>
                <w:b/>
                <w:color w:val="000000"/>
                <w:sz w:val="24"/>
              </w:rPr>
              <w:t>$822.15</w:t>
            </w:r>
          </w:p>
          <w:p>
            <w:pPr>
              <w:pStyle w:val="TableContents"/>
              <w:bidi w:val="0"/>
              <w:spacing w:before="0" w:after="283"/>
              <w:jc w:val="center"/>
              <w:rPr>
                <w:color w:val="000000"/>
              </w:rPr>
            </w:pPr>
            <w:r>
              <w:rPr>
                <w:color w:val="000000"/>
              </w:rPr>
              <w:t> </w:t>
            </w:r>
          </w:p>
          <w:p>
            <w:pPr>
              <w:pStyle w:val="TableContents"/>
              <w:bidi w:val="0"/>
              <w:spacing w:before="0" w:after="283"/>
              <w:jc w:val="center"/>
              <w:rPr>
                <w:color w:val="000000"/>
              </w:rPr>
            </w:pPr>
            <w:r>
              <w:rPr>
                <w:color w:val="000000"/>
              </w:rPr>
              <w:t>↑</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$462.59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(FY25)</w:t>
            </w:r>
          </w:p>
        </w:tc>
        <w:tc>
          <w:tcPr>
            <w:tcW w:w="272"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72" w:type="dxa"/>
            <w:tcBorders>
              <w:bottom w:val="single" w:sz="8" w:space="0" w:color="000000"/>
            </w:tcBorders>
            <w:tcMar>
              <w:bottom w:w="28" w:type="dxa"/>
            </w:tcMar>
            <w:vAlign w:val="center"/>
          </w:tcPr>
          <w:p>
            <w:pPr>
              <w:pStyle w:val="TableContents"/>
              <w:bidi w:val="0"/>
              <w:spacing w:before="0" w:after="0"/>
              <w:jc w:val="left"/>
              <w:rPr/>
            </w:pPr>
            <w:r>
              <w:rPr/>
              <w:t> </w:t>
            </w:r>
          </w:p>
        </w:tc>
        <w:tc>
          <w:tcPr>
            <w:tcW w:w="1904" w:type="dxa"/>
            <w:tcBorders>
              <w:bottom w:val="single" w:sz="8" w:space="0" w:color="000000"/>
            </w:tcBorders>
            <w:tcMar>
              <w:bottom w:w="45" w:type="dxa"/>
            </w:tcMar>
            <w:vAlign w:val="center"/>
          </w:tcPr>
          <w:p>
            <w:pPr>
              <w:pStyle w:val="TableContents"/>
              <w:bidi w:val="0"/>
              <w:spacing w:before="40" w:after="283"/>
              <w:jc w:val="center"/>
              <w:rPr>
                <w:rFonts w:ascii="Times New Roman;Times;serif" w:hAnsi="Times New Roman;Times;serif"/>
                <w:b/>
                <w:color w:val="000000"/>
                <w:sz w:val="24"/>
              </w:rPr>
            </w:pPr>
            <w:r>
              <w:rPr>
                <w:rFonts w:ascii="Times New Roman;Times;serif" w:hAnsi="Times New Roman;Times;serif"/>
                <w:b/>
                <w:color w:val="000000"/>
                <w:sz w:val="24"/>
              </w:rPr>
              <w:t>$19.16</w:t>
            </w:r>
          </w:p>
          <w:p>
            <w:pPr>
              <w:pStyle w:val="TableContents"/>
              <w:bidi w:val="0"/>
              <w:spacing w:before="0" w:after="283"/>
              <w:jc w:val="center"/>
              <w:rPr>
                <w:color w:val="000000"/>
              </w:rPr>
            </w:pPr>
            <w:r>
              <w:rPr>
                <w:color w:val="000000"/>
              </w:rPr>
              <w:t> </w:t>
            </w:r>
          </w:p>
          <w:p>
            <w:pPr>
              <w:pStyle w:val="TableContents"/>
              <w:bidi w:val="0"/>
              <w:spacing w:before="0" w:after="283"/>
              <w:jc w:val="center"/>
              <w:rPr>
                <w:color w:val="000000"/>
              </w:rPr>
            </w:pPr>
            <w:r>
              <w:rPr>
                <w:color w:val="000000"/>
              </w:rPr>
              <w:t>↑</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$14.64</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(FY25) </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344"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30.7% increase</w:t>
            </w:r>
          </w:p>
        </w:tc>
        <w:tc>
          <w:tcPr>
            <w:tcW w:w="272"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72" w:type="dxa"/>
            <w:tcBorders>
              <w:bottom w:val="single" w:sz="8" w:space="0" w:color="000000"/>
            </w:tcBorders>
            <w:tcMar>
              <w:bottom w:w="28" w:type="dxa"/>
            </w:tcMar>
            <w:vAlign w:val="center"/>
          </w:tcPr>
          <w:p>
            <w:pPr>
              <w:pStyle w:val="TableContents"/>
              <w:bidi w:val="0"/>
              <w:spacing w:before="0" w:after="0"/>
              <w:jc w:val="left"/>
              <w:rPr/>
            </w:pPr>
            <w:r>
              <w:rPr/>
              <w:t> </w:t>
            </w:r>
          </w:p>
        </w:tc>
        <w:tc>
          <w:tcPr>
            <w:tcW w:w="2055"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23.6% increase</w:t>
            </w:r>
          </w:p>
        </w:tc>
        <w:tc>
          <w:tcPr>
            <w:tcW w:w="272"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72" w:type="dxa"/>
            <w:tcBorders>
              <w:bottom w:val="single" w:sz="8" w:space="0" w:color="000000"/>
            </w:tcBorders>
            <w:tcMar>
              <w:bottom w:w="28" w:type="dxa"/>
            </w:tcMar>
            <w:vAlign w:val="center"/>
          </w:tcPr>
          <w:p>
            <w:pPr>
              <w:pStyle w:val="TableContents"/>
              <w:bidi w:val="0"/>
              <w:spacing w:before="0" w:after="0"/>
              <w:jc w:val="left"/>
              <w:rPr/>
            </w:pPr>
            <w:r>
              <w:rPr/>
              <w:t> </w:t>
            </w:r>
          </w:p>
        </w:tc>
        <w:tc>
          <w:tcPr>
            <w:tcW w:w="1863"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77.7% increase</w:t>
            </w:r>
          </w:p>
        </w:tc>
        <w:tc>
          <w:tcPr>
            <w:tcW w:w="272"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72" w:type="dxa"/>
            <w:tcBorders>
              <w:bottom w:val="single" w:sz="8" w:space="0" w:color="000000"/>
            </w:tcBorders>
            <w:tcMar>
              <w:bottom w:w="28" w:type="dxa"/>
            </w:tcMar>
            <w:vAlign w:val="center"/>
          </w:tcPr>
          <w:p>
            <w:pPr>
              <w:pStyle w:val="TableContents"/>
              <w:bidi w:val="0"/>
              <w:spacing w:before="0" w:after="0"/>
              <w:jc w:val="left"/>
              <w:rPr/>
            </w:pPr>
            <w:r>
              <w:rPr/>
              <w:t> </w:t>
            </w:r>
          </w:p>
        </w:tc>
        <w:tc>
          <w:tcPr>
            <w:tcW w:w="1904"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30.9% increase </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798" w:type="dxa"/>
            <w:gridSpan w:val="10"/>
            <w:tcBorders/>
            <w:vAlign w:val="center"/>
          </w:tcPr>
          <w:p>
            <w:pPr>
              <w:pStyle w:val="TableContents"/>
              <w:bidi w:val="0"/>
              <w:spacing w:before="0" w:after="283"/>
              <w:jc w:val="center"/>
              <w:rPr>
                <w:rFonts w:ascii="Times New Roman;Times;serif" w:hAnsi="Times New Roman;Times;serif"/>
                <w:color w:val="000000"/>
                <w:sz w:val="14"/>
              </w:rPr>
            </w:pPr>
            <w:r>
              <w:rPr>
                <w:rFonts w:ascii="Times New Roman;Times;serif" w:hAnsi="Times New Roman;Times;serif"/>
                <w:color w:val="000000"/>
                <w:sz w:val="14"/>
              </w:rPr>
              <w:t>*EBITDA is a non-GAAP measure defined as net income before net interest expense, income taxes, depreciation and amortization. See Appendix A for reconciliation of net income to EBITDA.</w:t>
            </w:r>
          </w:p>
        </w:tc>
        <w:tc>
          <w:tcPr>
            <w:tcW w:w="222"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798" w:type="dxa"/>
            <w:gridSpan w:val="10"/>
            <w:tcBorders>
              <w:bottom w:val="single" w:sz="8" w:space="0" w:color="000000"/>
            </w:tcBorders>
            <w:tcMar>
              <w:bottom w:w="28" w:type="dxa"/>
            </w:tcMar>
            <w:vAlign w:val="center"/>
          </w:tcPr>
          <w:p>
            <w:pPr>
              <w:pStyle w:val="TableContents"/>
              <w:bidi w:val="0"/>
              <w:spacing w:before="0" w:after="0"/>
              <w:jc w:val="left"/>
              <w:rPr/>
            </w:pPr>
            <w:r>
              <w:rPr/>
              <w:t> </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40" w:after="283"/>
        <w:jc w:val="center"/>
        <w:rPr>
          <w:rFonts w:ascii="Times New Roman;Times;serif" w:hAnsi="Times New Roman;Times;serif"/>
          <w:b/>
          <w:color w:val="000000"/>
          <w:sz w:val="20"/>
        </w:rPr>
      </w:pPr>
      <w:bookmarkStart w:id="13" w:name="tAMD"/>
      <w:bookmarkEnd w:id="13"/>
      <w:r>
        <w:rPr>
          <w:rFonts w:ascii="Times New Roman;Times;serif" w:hAnsi="Times New Roman;Times;serif"/>
          <w:b/>
          <w:color w:val="000000"/>
          <w:sz w:val="20"/>
          <w:u w:val="single"/>
        </w:rPr>
        <w:t>2026 ANNUAL MEETING DETAILS</w:t>
      </w:r>
      <w:r>
        <w:rPr>
          <w:rFonts w:ascii="Times New Roman;Times;serif" w:hAnsi="Times New Roman;Times;serif"/>
          <w:b/>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5"/>
        <w:gridCol w:w="1370"/>
        <w:gridCol w:w="170"/>
        <w:gridCol w:w="170"/>
        <w:gridCol w:w="5945"/>
        <w:gridCol w:w="170"/>
        <w:gridCol w:w="170"/>
        <w:gridCol w:w="1810"/>
        <w:gridCol w:w="215"/>
      </w:tblGrid>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4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70"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September 2, 2026</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8:30 a.m. CT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45"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u w:val="single"/>
              </w:rPr>
              <w:t>www.virtualshareholdermeeting.com/CASY2026</w:t>
            </w:r>
            <w:r>
              <w:rPr>
                <w:rFonts w:ascii="Times New Roman;Times;serif" w:hAnsi="Times New Roman;Times;serif"/>
                <w:color w:val="000000"/>
                <w:sz w:val="18"/>
              </w:rPr>
              <w:t xml:space="preserve">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(virtual only – there is no physical meeting location)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10"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Record Date: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June 29, 2026</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Mailing Date: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On or around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July 22, 2026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370" w:type="dxa"/>
            <w:tcBorders>
              <w:bottom w:val="single" w:sz="8" w:space="0" w:color="000000"/>
            </w:tcBorders>
            <w:shd w:fill="F2F2F2" w:val="clear"/>
            <w:tcMar>
              <w:bottom w:w="4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Proposals</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5945" w:type="dxa"/>
            <w:tcBorders>
              <w:bottom w:val="single" w:sz="8" w:space="0" w:color="000000"/>
            </w:tcBorders>
            <w:shd w:fill="F2F2F2" w:val="clear"/>
            <w:tcMar>
              <w:bottom w:w="4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Description</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810" w:type="dxa"/>
            <w:tcBorders>
              <w:bottom w:val="single" w:sz="8" w:space="0" w:color="000000"/>
            </w:tcBorders>
            <w:shd w:fill="F2F2F2" w:val="clear"/>
            <w:tcMar>
              <w:bottom w:w="4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Board’s Voting Recommendation </w:t>
            </w:r>
          </w:p>
        </w:tc>
        <w:tc>
          <w:tcPr>
            <w:tcW w:w="21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70" w:type="dxa"/>
            <w:tcBorders>
              <w:bottom w:val="single" w:sz="8" w:space="0" w:color="000000"/>
            </w:tcBorders>
            <w:tcMar>
              <w:bottom w:w="45" w:type="dxa"/>
            </w:tcMar>
            <w:vAlign w:val="center"/>
          </w:tcPr>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rPr>
              <w:t>1. Election of Directors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45" w:type="dxa"/>
            <w:tcBorders>
              <w:bottom w:val="single" w:sz="8" w:space="0" w:color="000000"/>
            </w:tcBorders>
            <w:tcMar>
              <w:bottom w:w="4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To elect eleven directors to serve until the next annual shareholders’ meeting and until their successors are elected and qualified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10" w:type="dxa"/>
            <w:tcBorders>
              <w:bottom w:val="single" w:sz="8" w:space="0" w:color="000000"/>
            </w:tcBorders>
            <w:tcMar>
              <w:bottom w:w="4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 xml:space="preserve">FOR each nominee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70" w:type="dxa"/>
            <w:tcBorders>
              <w:bottom w:val="single" w:sz="8" w:space="0" w:color="000000"/>
            </w:tcBorders>
            <w:tcMar>
              <w:bottom w:w="45" w:type="dxa"/>
            </w:tcMar>
            <w:vAlign w:val="center"/>
          </w:tcPr>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rPr>
              <w:t>2. Ratify Auditors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45" w:type="dxa"/>
            <w:tcBorders>
              <w:bottom w:val="single" w:sz="8" w:space="0" w:color="000000"/>
            </w:tcBorders>
            <w:tcMar>
              <w:bottom w:w="4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To ratify the appointment of KPMG LLP as the Company’s independent registered public accounting firm for the fiscal year ending April 30, 2027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10" w:type="dxa"/>
            <w:tcBorders>
              <w:bottom w:val="single" w:sz="8" w:space="0" w:color="000000"/>
            </w:tcBorders>
            <w:tcMar>
              <w:bottom w:w="4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 xml:space="preserve">FOR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70" w:type="dxa"/>
            <w:tcBorders>
              <w:bottom w:val="single" w:sz="8" w:space="0" w:color="000000"/>
            </w:tcBorders>
            <w:tcMar>
              <w:bottom w:w="45" w:type="dxa"/>
            </w:tcMar>
            <w:vAlign w:val="center"/>
          </w:tcPr>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rPr>
              <w:t>3. Say on Pay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45" w:type="dxa"/>
            <w:tcBorders>
              <w:bottom w:val="single" w:sz="8" w:space="0" w:color="000000"/>
            </w:tcBorders>
            <w:tcMar>
              <w:bottom w:w="4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To hold an advisory vote on our named executive officer compensation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10" w:type="dxa"/>
            <w:tcBorders>
              <w:bottom w:val="single" w:sz="8" w:space="0" w:color="000000"/>
            </w:tcBorders>
            <w:tcMar>
              <w:bottom w:w="4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 xml:space="preserve">FOR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rPr>
              <w:t>4. Shareholder Proposal</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Shareholder proposal regarding shareholder special meeting rights, if properly presented at the Annual Meeting</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0"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AGAINST</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4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1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510" w:type="dxa"/>
        <w:jc w:val="left"/>
        <w:tblInd w:w="0" w:type="dxa"/>
        <w:tblLayout w:type="fixed"/>
        <w:tblCellMar>
          <w:top w:w="0" w:type="dxa"/>
          <w:left w:w="0" w:type="dxa"/>
          <w:bottom w:w="0" w:type="dxa"/>
          <w:right w:w="0" w:type="dxa"/>
        </w:tblCellMar>
      </w:tblPr>
      <w:tblGrid>
        <w:gridCol w:w="1985"/>
        <w:gridCol w:w="170"/>
        <w:gridCol w:w="170"/>
        <w:gridCol w:w="17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 w:name="ny20072699x1_def14a_103-summary_pg2"/>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 w:name="tVR"/>
      <w:bookmarkEnd w:id="15"/>
      <w:r>
        <w:rPr>
          <w:rFonts w:ascii="Times New Roman;Times;serif" w:hAnsi="Times New Roman;Times;serif"/>
          <w:b/>
          <w:color w:val="000000"/>
          <w:sz w:val="20"/>
          <w:u w:val="single"/>
        </w:rPr>
        <w:t>VOTING ROADMAP</w:t>
      </w:r>
      <w:r>
        <w:rPr>
          <w:rFonts w:ascii="Times New Roman;Times;serif" w:hAnsi="Times New Roman;Times;serif"/>
          <w:b/>
          <w:color w:val="000000"/>
          <w:sz w:val="20"/>
        </w:rPr>
        <w:t xml:space="preserve"> </w:t>
      </w:r>
    </w:p>
    <w:p>
      <w:pPr>
        <w:pStyle w:val="TextBody"/>
        <w:bidi w:val="0"/>
        <w:spacing w:before="26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Proposal 1 Summary: Election of Directors</w:t>
      </w:r>
      <w:r>
        <w:rPr>
          <w:rFonts w:ascii="Times New Roman;Times;serif" w:hAnsi="Times New Roman;Times;serif"/>
          <w:b/>
          <w:color w:val="000000"/>
          <w:sz w:val="19"/>
        </w:rPr>
        <w:t xml:space="preserve"> </w:t>
      </w:r>
    </w:p>
    <w:p>
      <w:pPr>
        <w:pStyle w:val="TextBody"/>
        <w:bidi w:val="0"/>
        <w:spacing w:before="20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**The Board recommends a vote </w:t>
      </w:r>
      <w:r>
        <w:rPr>
          <w:rFonts w:ascii="Times New Roman;Times;serif" w:hAnsi="Times New Roman;Times;serif"/>
          <w:b/>
          <w:i/>
          <w:color w:val="000000"/>
          <w:sz w:val="19"/>
          <w:u w:val="single"/>
        </w:rPr>
        <w:t>FOR</w:t>
      </w:r>
      <w:r>
        <w:rPr>
          <w:rFonts w:ascii="Times New Roman;Times;serif" w:hAnsi="Times New Roman;Times;serif"/>
          <w:b/>
          <w:color w:val="000000"/>
          <w:sz w:val="19"/>
        </w:rPr>
        <w:t xml:space="preserve"> all director nominees** </w:t>
      </w:r>
    </w:p>
    <w:tbl>
      <w:tblPr>
        <w:tblW w:w="10205" w:type="dxa"/>
        <w:jc w:val="left"/>
        <w:tblInd w:w="0" w:type="dxa"/>
        <w:tblLayout w:type="fixed"/>
        <w:tblCellMar>
          <w:top w:w="0" w:type="dxa"/>
          <w:left w:w="0" w:type="dxa"/>
          <w:bottom w:w="55" w:type="dxa"/>
          <w:right w:w="0" w:type="dxa"/>
        </w:tblCellMar>
      </w:tblPr>
      <w:tblGrid>
        <w:gridCol w:w="780"/>
        <w:gridCol w:w="2131"/>
        <w:gridCol w:w="170"/>
        <w:gridCol w:w="170"/>
        <w:gridCol w:w="350"/>
        <w:gridCol w:w="170"/>
        <w:gridCol w:w="170"/>
        <w:gridCol w:w="680"/>
        <w:gridCol w:w="170"/>
        <w:gridCol w:w="170"/>
        <w:gridCol w:w="235"/>
        <w:gridCol w:w="170"/>
        <w:gridCol w:w="170"/>
        <w:gridCol w:w="425"/>
        <w:gridCol w:w="170"/>
        <w:gridCol w:w="170"/>
        <w:gridCol w:w="387"/>
        <w:gridCol w:w="170"/>
        <w:gridCol w:w="170"/>
        <w:gridCol w:w="290"/>
        <w:gridCol w:w="170"/>
        <w:gridCol w:w="170"/>
        <w:gridCol w:w="1900"/>
        <w:gridCol w:w="170"/>
        <w:gridCol w:w="170"/>
        <w:gridCol w:w="90"/>
        <w:gridCol w:w="217"/>
      </w:tblGrid>
      <w:tr>
        <w:trPr/>
        <w:tc>
          <w:tcPr>
            <w:tcW w:w="2911" w:type="dxa"/>
            <w:gridSpan w:val="2"/>
            <w:vMerge w:val="restart"/>
            <w:tcBorders>
              <w:bottom w:val="single" w:sz="8" w:space="0" w:color="000000"/>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Nominees</w:t>
            </w:r>
          </w:p>
        </w:tc>
        <w:tc>
          <w:tcPr>
            <w:tcW w:w="170" w:type="dxa"/>
            <w:vMerge w:val="restart"/>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50" w:type="dxa"/>
            <w:vMerge w:val="restart"/>
            <w:tcBorders>
              <w:bottom w:val="single" w:sz="8" w:space="0" w:color="000000"/>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Age</w:t>
            </w:r>
          </w:p>
        </w:tc>
        <w:tc>
          <w:tcPr>
            <w:tcW w:w="170" w:type="dxa"/>
            <w:vMerge w:val="restart"/>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680" w:type="dxa"/>
            <w:vMerge w:val="restart"/>
            <w:tcBorders>
              <w:bottom w:val="single" w:sz="8" w:space="0" w:color="000000"/>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Director</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Since</w:t>
            </w:r>
          </w:p>
        </w:tc>
        <w:tc>
          <w:tcPr>
            <w:tcW w:w="170" w:type="dxa"/>
            <w:vMerge w:val="restart"/>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27" w:type="dxa"/>
            <w:gridSpan w:val="7"/>
            <w:tcBorders>
              <w:bottom w:val="single" w:sz="8" w:space="0" w:color="000000"/>
            </w:tcBorders>
            <w:shd w:fill="F2F2F2" w:val="clear"/>
            <w:vAlign w:val="center"/>
          </w:tcPr>
          <w:p>
            <w:pPr>
              <w:pStyle w:val="TableContents"/>
              <w:bidi w:val="0"/>
              <w:spacing w:before="0" w:after="283"/>
              <w:ind w:left="0" w:right="0" w:hanging="0"/>
              <w:jc w:val="both"/>
              <w:rPr>
                <w:rFonts w:ascii="Times New Roman;Times;serif" w:hAnsi="Times New Roman;Times;serif"/>
                <w:b/>
                <w:color w:val="000000"/>
                <w:sz w:val="18"/>
              </w:rPr>
            </w:pPr>
            <w:r>
              <w:rPr>
                <w:rFonts w:ascii="Times New Roman;Times;serif" w:hAnsi="Times New Roman;Times;serif"/>
                <w:b/>
                <w:color w:val="000000"/>
                <w:sz w:val="18"/>
              </w:rPr>
              <w:t>Current Committees</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960" w:type="dxa"/>
            <w:gridSpan w:val="7"/>
            <w:vMerge w:val="restart"/>
            <w:tcBorders>
              <w:bottom w:val="single" w:sz="8" w:space="0" w:color="000000"/>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Nominee Composition* / Highlights </w:t>
            </w:r>
          </w:p>
        </w:tc>
        <w:tc>
          <w:tcPr>
            <w:tcW w:w="217" w:type="dxa"/>
            <w:vMerge w:val="restart"/>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2911" w:type="dxa"/>
            <w:gridSpan w:val="2"/>
            <w:vMerge w:val="continue"/>
            <w:tcBorders>
              <w:bottom w:val="single" w:sz="8" w:space="0" w:color="000000"/>
            </w:tcBorders>
            <w:shd w:fill="F2F2F2" w:val="clear"/>
            <w:vAlign w:val="center"/>
          </w:tcPr>
          <w:p>
            <w:pPr>
              <w:pStyle w:val="Normal"/>
              <w:bidi w:val="0"/>
              <w:jc w:val="left"/>
              <w:rPr/>
            </w:pPr>
            <w:r>
              <w:rPr/>
            </w:r>
          </w:p>
        </w:tc>
        <w:tc>
          <w:tcPr>
            <w:tcW w:w="170" w:type="dxa"/>
            <w:vMerge w:val="continue"/>
            <w:tcBorders>
              <w:bottom w:val="single" w:sz="8" w:space="0" w:color="000000"/>
            </w:tcBorders>
            <w:shd w:fill="F2F2F2"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F2F2F2" w:val="clear"/>
            <w:vAlign w:val="center"/>
          </w:tcPr>
          <w:p>
            <w:pPr>
              <w:pStyle w:val="Normal"/>
              <w:bidi w:val="0"/>
              <w:jc w:val="left"/>
              <w:rPr/>
            </w:pPr>
            <w:r>
              <w:rPr/>
            </w:r>
          </w:p>
        </w:tc>
        <w:tc>
          <w:tcPr>
            <w:tcW w:w="350" w:type="dxa"/>
            <w:vMerge w:val="continue"/>
            <w:tcBorders>
              <w:bottom w:val="single" w:sz="8" w:space="0" w:color="000000"/>
              <w:right w:val="single" w:sz="8" w:space="0" w:color="000000"/>
            </w:tcBorders>
            <w:shd w:fill="F2F2F2" w:val="clear"/>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shd w:fill="F2F2F2"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F2F2F2" w:val="clear"/>
            <w:vAlign w:val="center"/>
          </w:tcPr>
          <w:p>
            <w:pPr>
              <w:pStyle w:val="Normal"/>
              <w:bidi w:val="0"/>
              <w:jc w:val="left"/>
              <w:rPr/>
            </w:pPr>
            <w:r>
              <w:rPr/>
            </w:r>
          </w:p>
        </w:tc>
        <w:tc>
          <w:tcPr>
            <w:tcW w:w="680" w:type="dxa"/>
            <w:vMerge w:val="continue"/>
            <w:tcBorders>
              <w:bottom w:val="single" w:sz="8" w:space="0" w:color="000000"/>
              <w:right w:val="single" w:sz="8" w:space="0" w:color="000000"/>
            </w:tcBorders>
            <w:shd w:fill="F2F2F2" w:val="clear"/>
            <w:tcMar>
              <w:bottom w:w="28" w:type="dxa"/>
              <w:right w:w="28"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F2F2F2" w:val="clear"/>
            <w:tcMar>
              <w:bottom w:w="28" w:type="dxa"/>
              <w:right w:w="28" w:type="dxa"/>
            </w:tcMar>
            <w:vAlign w:val="center"/>
          </w:tcPr>
          <w:p>
            <w:pPr>
              <w:pStyle w:val="Normal"/>
              <w:bidi w:val="0"/>
              <w:jc w:val="left"/>
              <w:rPr/>
            </w:pPr>
            <w:r>
              <w:rPr/>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35" w:type="dxa"/>
            <w:tcBorders>
              <w:bottom w:val="single" w:sz="8" w:space="0" w:color="000000"/>
            </w:tcBorders>
            <w:shd w:fill="F2F2F2" w:val="cle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A</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F2F2F2" w:val="cle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NCG</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87" w:type="dxa"/>
            <w:tcBorders>
              <w:bottom w:val="single" w:sz="8" w:space="0" w:color="000000"/>
            </w:tcBorders>
            <w:shd w:fill="F2F2F2" w:val="cle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C/HC </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vMerge w:val="continue"/>
            <w:tcBorders>
              <w:bottom w:val="single" w:sz="8" w:space="0" w:color="000000"/>
            </w:tcBorders>
            <w:shd w:fill="F2F2F2" w:val="clear"/>
            <w:tcMar>
              <w:bottom w:w="28" w:type="dxa"/>
            </w:tcMar>
            <w:vAlign w:val="center"/>
          </w:tcPr>
          <w:p>
            <w:pPr>
              <w:pStyle w:val="Normal"/>
              <w:bidi w:val="0"/>
              <w:jc w:val="left"/>
              <w:rPr/>
            </w:pPr>
            <w:r>
              <w:rPr/>
            </w:r>
          </w:p>
        </w:tc>
        <w:tc>
          <w:tcPr>
            <w:tcW w:w="2960" w:type="dxa"/>
            <w:gridSpan w:val="7"/>
            <w:vMerge w:val="continue"/>
            <w:tcBorders>
              <w:bottom w:val="single" w:sz="8" w:space="0" w:color="000000"/>
            </w:tcBorders>
            <w:shd w:fill="F2F2F2" w:val="clear"/>
            <w:vAlign w:val="center"/>
          </w:tcPr>
          <w:p>
            <w:pPr>
              <w:pStyle w:val="Normal"/>
              <w:bidi w:val="0"/>
              <w:jc w:val="left"/>
              <w:rPr/>
            </w:pPr>
            <w:r>
              <w:rPr/>
            </w:r>
          </w:p>
        </w:tc>
        <w:tc>
          <w:tcPr>
            <w:tcW w:w="217" w:type="dxa"/>
            <w:vMerge w:val="continue"/>
            <w:tcBorders>
              <w:bottom w:val="single" w:sz="8" w:space="0" w:color="000000"/>
            </w:tcBorders>
            <w:shd w:fill="F2F2F2" w:val="clear"/>
            <w:tcMar>
              <w:bottom w:w="28" w:type="dxa"/>
            </w:tcMar>
            <w:vAlign w:val="center"/>
          </w:tcPr>
          <w:p>
            <w:pPr>
              <w:pStyle w:val="Normal"/>
              <w:bidi w:val="0"/>
              <w:jc w:val="left"/>
              <w:rPr/>
            </w:pPr>
            <w:r>
              <w:rPr/>
            </w:r>
          </w:p>
        </w:tc>
      </w:tr>
      <w:tr>
        <w:trPr/>
        <w:tc>
          <w:tcPr>
            <w:tcW w:w="780" w:type="dxa"/>
            <w:tcBorders>
              <w:bottom w:val="single" w:sz="8" w:space="0" w:color="000000"/>
            </w:tcBorders>
            <w:tcMar>
              <w:bottom w:w="58" w:type="dxa"/>
            </w:tcMar>
            <w:vAlign w:val="center"/>
          </w:tcPr>
          <w:p>
            <w:pPr>
              <w:pStyle w:val="TableContents"/>
              <w:bidi w:val="0"/>
              <w:spacing w:before="0" w:after="283"/>
              <w:ind w:left="5" w:right="0" w:hanging="0"/>
              <w:jc w:val="left"/>
              <w:rPr>
                <w:color w:val="000000"/>
              </w:rPr>
            </w:pPr>
            <w:r>
              <w:rPr>
                <w:color w:val="000000"/>
              </w:rPr>
              <w:drawing>
                <wp:inline distT="0" distB="0" distL="0" distR="0">
                  <wp:extent cx="466725" cy="4667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466725" cy="466725"/>
                          </a:xfrm>
                          <a:prstGeom prst="rect">
                            <a:avLst/>
                          </a:prstGeom>
                        </pic:spPr>
                      </pic:pic>
                    </a:graphicData>
                  </a:graphic>
                </wp:inline>
              </w:drawing>
            </w:r>
          </w:p>
        </w:tc>
        <w:tc>
          <w:tcPr>
            <w:tcW w:w="213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Darren M. Rebelez</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Board Chair</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 xml:space="preserve">President and CEO, </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Casey’s General Stores,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5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60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2019</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5"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7"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restart"/>
            <w:tcBorders/>
            <w:tcMar>
              <w:bottom w:w="0" w:type="dxa"/>
            </w:tcMar>
            <w:vAlign w:val="center"/>
          </w:tcPr>
          <w:p>
            <w:pPr>
              <w:pStyle w:val="TableContents"/>
              <w:bidi w:val="0"/>
              <w:spacing w:before="0" w:after="0"/>
              <w:jc w:val="left"/>
              <w:rPr/>
            </w:pPr>
            <w:r>
              <w:rPr/>
              <w:t> </w:t>
            </w:r>
          </w:p>
        </w:tc>
        <w:tc>
          <w:tcPr>
            <w:tcW w:w="290" w:type="dxa"/>
            <w:vMerge w:val="restart"/>
            <w:tcBorders/>
            <w:tcMar>
              <w:bottom w:w="0" w:type="dxa"/>
            </w:tcMar>
            <w:vAlign w:val="center"/>
          </w:tcPr>
          <w:p>
            <w:pPr>
              <w:pStyle w:val="TableContents"/>
              <w:bidi w:val="0"/>
              <w:spacing w:before="0" w:after="283"/>
              <w:jc w:val="center"/>
              <w:rPr>
                <w:color w:val="000000"/>
              </w:rPr>
            </w:pPr>
            <w:r>
              <w:rPr>
                <w:color w:val="000000"/>
              </w:rPr>
              <w:t> </w:t>
            </w:r>
          </w:p>
        </w:tc>
        <w:tc>
          <w:tcPr>
            <w:tcW w:w="170" w:type="dxa"/>
            <w:vMerge w:val="restart"/>
            <w:tcBorders/>
            <w:tcMar>
              <w:bottom w:w="0" w:type="dxa"/>
            </w:tcMar>
            <w:vAlign w:val="center"/>
          </w:tcPr>
          <w:p>
            <w:pPr>
              <w:pStyle w:val="TableContents"/>
              <w:bidi w:val="0"/>
              <w:spacing w:before="0" w:after="0"/>
              <w:jc w:val="left"/>
              <w:rPr/>
            </w:pPr>
            <w:r>
              <w:rPr/>
              <w:t> </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900" w:type="dxa"/>
            <w:vMerge w:val="restart"/>
            <w:tcBorders>
              <w:bottom w:val="single" w:sz="8" w:space="0" w:color="000000"/>
            </w:tcBorders>
            <w:tcMar>
              <w:bottom w:w="58" w:type="dxa"/>
            </w:tcMar>
            <w:vAlign w:val="center"/>
          </w:tcPr>
          <w:p>
            <w:pPr>
              <w:pStyle w:val="TableContents"/>
              <w:bidi w:val="0"/>
              <w:spacing w:before="0" w:after="283"/>
              <w:ind w:left="0" w:right="0" w:hanging="0"/>
              <w:jc w:val="left"/>
              <w:rPr>
                <w:rFonts w:ascii="Times New Roman;Times;serif" w:hAnsi="Times New Roman;Times;serif"/>
                <w:b/>
                <w:color w:val="000000"/>
                <w:sz w:val="17"/>
                <w:u w:val="single"/>
              </w:rPr>
            </w:pPr>
            <w:r>
              <w:rPr>
                <w:rFonts w:ascii="Times New Roman;Times;serif" w:hAnsi="Times New Roman;Times;serif"/>
                <w:b/>
                <w:color w:val="000000"/>
                <w:sz w:val="17"/>
                <w:u w:val="single"/>
              </w:rPr>
              <w:t>Governance Practices</w:t>
            </w:r>
          </w:p>
          <w:p>
            <w:pPr>
              <w:pStyle w:val="TableContents"/>
              <w:bidi w:val="0"/>
              <w:spacing w:before="200" w:after="283"/>
              <w:ind w:left="0" w:right="0" w:hanging="0"/>
              <w:jc w:val="left"/>
              <w:rPr>
                <w:color w:val="000000"/>
              </w:rPr>
            </w:pPr>
            <w:r>
              <w:rPr>
                <w:color w:val="000000"/>
              </w:rPr>
              <w:t>✔ </w:t>
            </w:r>
            <w:r>
              <w:rPr>
                <w:rFonts w:ascii="Times New Roman;Times;serif" w:hAnsi="Times New Roman;Times;serif"/>
                <w:b w:val="false"/>
                <w:color w:val="000000"/>
                <w:sz w:val="17"/>
              </w:rPr>
              <w:t xml:space="preserve">Annual election of directors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 xml:space="preserve">Majority voting in uncontested elections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 xml:space="preserve">Robust Lead Independent Director duties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 xml:space="preserve">All directors independent other than CEO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 xml:space="preserve">All committee members are independent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 xml:space="preserve">Regular executive sessions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 xml:space="preserve">Meaningful stock ownership requirements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 xml:space="preserve">Proxy access (3/3/20/20)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 xml:space="preserve">Single voting class of securities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 xml:space="preserve">Robust code of conduct/ethics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 xml:space="preserve">Regular board/committee self-assessments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 xml:space="preserve">Director over-boarding limits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Strong corporate governance guidelines</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vMerge w:val="restart"/>
            <w:tcBorders/>
            <w:tcMar>
              <w:bottom w:w="0" w:type="dxa"/>
            </w:tcMar>
            <w:vAlign w:val="center"/>
          </w:tcPr>
          <w:p>
            <w:pPr>
              <w:pStyle w:val="TableContents"/>
              <w:bidi w:val="0"/>
              <w:spacing w:before="0" w:after="0"/>
              <w:jc w:val="left"/>
              <w:rPr/>
            </w:pPr>
            <w:r>
              <w:rPr/>
              <w:t> </w:t>
            </w:r>
          </w:p>
        </w:tc>
        <w:tc>
          <w:tcPr>
            <w:tcW w:w="90" w:type="dxa"/>
            <w:vMerge w:val="restart"/>
            <w:tcBorders/>
            <w:tcMar>
              <w:bottom w:w="0" w:type="dxa"/>
            </w:tcMar>
            <w:vAlign w:val="center"/>
          </w:tcPr>
          <w:p>
            <w:pPr>
              <w:pStyle w:val="TableContents"/>
              <w:bidi w:val="0"/>
              <w:spacing w:before="0" w:after="0"/>
              <w:jc w:val="left"/>
              <w:rPr>
                <w:color w:val="000000"/>
              </w:rPr>
            </w:pPr>
            <w:r>
              <w:rPr>
                <w:color w:val="000000"/>
              </w:rPr>
              <w:t> </w:t>
            </w:r>
          </w:p>
        </w:tc>
        <w:tc>
          <w:tcPr>
            <w:tcW w:w="217" w:type="dxa"/>
            <w:vMerge w:val="restart"/>
            <w:tcBorders/>
            <w:tcMar>
              <w:bottom w:w="0" w:type="dxa"/>
            </w:tcMar>
            <w:vAlign w:val="center"/>
          </w:tcPr>
          <w:p>
            <w:pPr>
              <w:pStyle w:val="TableContents"/>
              <w:bidi w:val="0"/>
              <w:spacing w:before="0" w:after="0"/>
              <w:jc w:val="left"/>
              <w:rPr/>
            </w:pPr>
            <w:r>
              <w:rPr/>
              <w:t> </w:t>
            </w:r>
          </w:p>
        </w:tc>
      </w:tr>
      <w:tr>
        <w:trPr/>
        <w:tc>
          <w:tcPr>
            <w:tcW w:w="780" w:type="dxa"/>
            <w:tcBorders>
              <w:bottom w:val="single" w:sz="8" w:space="0" w:color="000000"/>
            </w:tcBorders>
            <w:tcMar>
              <w:bottom w:w="58" w:type="dxa"/>
            </w:tcMar>
            <w:vAlign w:val="center"/>
          </w:tcPr>
          <w:p>
            <w:pPr>
              <w:pStyle w:val="TableContents"/>
              <w:bidi w:val="0"/>
              <w:spacing w:before="0" w:after="283"/>
              <w:ind w:left="5" w:right="0" w:hanging="0"/>
              <w:jc w:val="left"/>
              <w:rPr>
                <w:color w:val="000000"/>
              </w:rPr>
            </w:pPr>
            <w:r>
              <w:rPr>
                <w:color w:val="000000"/>
              </w:rPr>
              <w:drawing>
                <wp:inline distT="0" distB="0" distL="0" distR="0">
                  <wp:extent cx="466725" cy="4667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466725" cy="466725"/>
                          </a:xfrm>
                          <a:prstGeom prst="rect">
                            <a:avLst/>
                          </a:prstGeom>
                        </pic:spPr>
                      </pic:pic>
                    </a:graphicData>
                  </a:graphic>
                </wp:inline>
              </w:drawing>
            </w:r>
          </w:p>
        </w:tc>
        <w:tc>
          <w:tcPr>
            <w:tcW w:w="213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Judy A. Schmeling (I)</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Lead Independent Director</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 xml:space="preserve">Former COO, HSN, Inc. and </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President, Cornerstone Brands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5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66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2018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5"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M</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7"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continue"/>
            <w:tcBorders/>
            <w:tcMar>
              <w:bottom w:w="0" w:type="dxa"/>
            </w:tcMar>
            <w:vAlign w:val="center"/>
          </w:tcPr>
          <w:p>
            <w:pPr>
              <w:pStyle w:val="Normal"/>
              <w:bidi w:val="0"/>
              <w:jc w:val="left"/>
              <w:rPr/>
            </w:pPr>
            <w:r>
              <w:rPr/>
            </w:r>
          </w:p>
        </w:tc>
        <w:tc>
          <w:tcPr>
            <w:tcW w:w="290" w:type="dxa"/>
            <w:vMerge w:val="continue"/>
            <w:tcBorders/>
            <w:tcMar>
              <w:bottom w:w="0" w:type="dxa"/>
            </w:tcMar>
            <w:vAlign w:val="center"/>
          </w:tcPr>
          <w:p>
            <w:pPr>
              <w:pStyle w:val="Normal"/>
              <w:bidi w:val="0"/>
              <w:jc w:val="left"/>
              <w:rPr/>
            </w:pPr>
            <w:r>
              <w:rPr/>
            </w:r>
          </w:p>
        </w:tc>
        <w:tc>
          <w:tcPr>
            <w:tcW w:w="170" w:type="dxa"/>
            <w:vMerge w:val="continue"/>
            <w:tcBorders/>
            <w:tcMar>
              <w:bottom w:w="0"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900" w:type="dxa"/>
            <w:vMerge w:val="continue"/>
            <w:tcBorders>
              <w:bottom w:val="single" w:sz="8" w:space="0" w:color="000000"/>
            </w:tcBorders>
            <w:tcMar>
              <w:bottom w:w="5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tcMar>
              <w:bottom w:w="0" w:type="dxa"/>
            </w:tcMar>
            <w:vAlign w:val="center"/>
          </w:tcPr>
          <w:p>
            <w:pPr>
              <w:pStyle w:val="Normal"/>
              <w:bidi w:val="0"/>
              <w:jc w:val="left"/>
              <w:rPr/>
            </w:pPr>
            <w:r>
              <w:rPr/>
            </w:r>
          </w:p>
        </w:tc>
        <w:tc>
          <w:tcPr>
            <w:tcW w:w="90" w:type="dxa"/>
            <w:vMerge w:val="continue"/>
            <w:tcBorders/>
            <w:tcMar>
              <w:bottom w:w="0" w:type="dxa"/>
            </w:tcMar>
            <w:vAlign w:val="center"/>
          </w:tcPr>
          <w:p>
            <w:pPr>
              <w:pStyle w:val="Normal"/>
              <w:bidi w:val="0"/>
              <w:jc w:val="left"/>
              <w:rPr/>
            </w:pPr>
            <w:r>
              <w:rPr/>
            </w:r>
          </w:p>
        </w:tc>
        <w:tc>
          <w:tcPr>
            <w:tcW w:w="217" w:type="dxa"/>
            <w:vMerge w:val="continue"/>
            <w:tcBorders/>
            <w:tcMar>
              <w:bottom w:w="0" w:type="dxa"/>
            </w:tcMar>
            <w:vAlign w:val="center"/>
          </w:tcPr>
          <w:p>
            <w:pPr>
              <w:pStyle w:val="Normal"/>
              <w:bidi w:val="0"/>
              <w:jc w:val="left"/>
              <w:rPr/>
            </w:pPr>
            <w:r>
              <w:rPr/>
            </w:r>
          </w:p>
        </w:tc>
      </w:tr>
      <w:tr>
        <w:trPr/>
        <w:tc>
          <w:tcPr>
            <w:tcW w:w="780" w:type="dxa"/>
            <w:tcBorders>
              <w:bottom w:val="single" w:sz="8" w:space="0" w:color="000000"/>
            </w:tcBorders>
            <w:tcMar>
              <w:bottom w:w="58" w:type="dxa"/>
            </w:tcMar>
            <w:vAlign w:val="center"/>
          </w:tcPr>
          <w:p>
            <w:pPr>
              <w:pStyle w:val="TableContents"/>
              <w:bidi w:val="0"/>
              <w:spacing w:before="0" w:after="283"/>
              <w:ind w:left="5" w:right="0" w:hanging="0"/>
              <w:jc w:val="left"/>
              <w:rPr>
                <w:color w:val="000000"/>
              </w:rPr>
            </w:pPr>
            <w:r>
              <w:rPr>
                <w:color w:val="000000"/>
              </w:rPr>
              <w:drawing>
                <wp:inline distT="0" distB="0" distL="0" distR="0">
                  <wp:extent cx="466725" cy="46672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466725" cy="466725"/>
                          </a:xfrm>
                          <a:prstGeom prst="rect">
                            <a:avLst/>
                          </a:prstGeom>
                        </pic:spPr>
                      </pic:pic>
                    </a:graphicData>
                  </a:graphic>
                </wp:inline>
              </w:drawing>
            </w:r>
          </w:p>
        </w:tc>
        <w:tc>
          <w:tcPr>
            <w:tcW w:w="213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Sri Donthi (I)</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 xml:space="preserve">Chief Information Officer, </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Ralph Lauren Corporation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5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59</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2022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M</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7"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continue"/>
            <w:tcBorders/>
            <w:tcMar>
              <w:bottom w:w="0" w:type="dxa"/>
            </w:tcMar>
            <w:vAlign w:val="center"/>
          </w:tcPr>
          <w:p>
            <w:pPr>
              <w:pStyle w:val="Normal"/>
              <w:bidi w:val="0"/>
              <w:jc w:val="left"/>
              <w:rPr/>
            </w:pPr>
            <w:r>
              <w:rPr/>
            </w:r>
          </w:p>
        </w:tc>
        <w:tc>
          <w:tcPr>
            <w:tcW w:w="290" w:type="dxa"/>
            <w:vMerge w:val="continue"/>
            <w:tcBorders/>
            <w:tcMar>
              <w:bottom w:w="0" w:type="dxa"/>
            </w:tcMar>
            <w:vAlign w:val="center"/>
          </w:tcPr>
          <w:p>
            <w:pPr>
              <w:pStyle w:val="Normal"/>
              <w:bidi w:val="0"/>
              <w:jc w:val="left"/>
              <w:rPr/>
            </w:pPr>
            <w:r>
              <w:rPr/>
            </w:r>
          </w:p>
        </w:tc>
        <w:tc>
          <w:tcPr>
            <w:tcW w:w="170" w:type="dxa"/>
            <w:vMerge w:val="continue"/>
            <w:tcBorders/>
            <w:tcMar>
              <w:bottom w:w="0"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900" w:type="dxa"/>
            <w:vMerge w:val="continue"/>
            <w:tcBorders>
              <w:bottom w:val="single" w:sz="8" w:space="0" w:color="000000"/>
            </w:tcBorders>
            <w:tcMar>
              <w:bottom w:w="5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tcMar>
              <w:bottom w:w="0" w:type="dxa"/>
            </w:tcMar>
            <w:vAlign w:val="center"/>
          </w:tcPr>
          <w:p>
            <w:pPr>
              <w:pStyle w:val="Normal"/>
              <w:bidi w:val="0"/>
              <w:jc w:val="left"/>
              <w:rPr/>
            </w:pPr>
            <w:r>
              <w:rPr/>
            </w:r>
          </w:p>
        </w:tc>
        <w:tc>
          <w:tcPr>
            <w:tcW w:w="90" w:type="dxa"/>
            <w:vMerge w:val="continue"/>
            <w:tcBorders/>
            <w:tcMar>
              <w:bottom w:w="0" w:type="dxa"/>
            </w:tcMar>
            <w:vAlign w:val="center"/>
          </w:tcPr>
          <w:p>
            <w:pPr>
              <w:pStyle w:val="Normal"/>
              <w:bidi w:val="0"/>
              <w:jc w:val="left"/>
              <w:rPr/>
            </w:pPr>
            <w:r>
              <w:rPr/>
            </w:r>
          </w:p>
        </w:tc>
        <w:tc>
          <w:tcPr>
            <w:tcW w:w="217" w:type="dxa"/>
            <w:vMerge w:val="continue"/>
            <w:tcBorders/>
            <w:tcMar>
              <w:bottom w:w="0" w:type="dxa"/>
            </w:tcMar>
            <w:vAlign w:val="center"/>
          </w:tcPr>
          <w:p>
            <w:pPr>
              <w:pStyle w:val="Normal"/>
              <w:bidi w:val="0"/>
              <w:jc w:val="left"/>
              <w:rPr/>
            </w:pPr>
            <w:r>
              <w:rPr/>
            </w:r>
          </w:p>
        </w:tc>
      </w:tr>
      <w:tr>
        <w:trPr/>
        <w:tc>
          <w:tcPr>
            <w:tcW w:w="780" w:type="dxa"/>
            <w:tcBorders>
              <w:bottom w:val="single" w:sz="8" w:space="0" w:color="000000"/>
            </w:tcBorders>
            <w:tcMar>
              <w:bottom w:w="58" w:type="dxa"/>
            </w:tcMar>
            <w:vAlign w:val="center"/>
          </w:tcPr>
          <w:p>
            <w:pPr>
              <w:pStyle w:val="TableContents"/>
              <w:bidi w:val="0"/>
              <w:spacing w:before="0" w:after="283"/>
              <w:ind w:left="5" w:right="0" w:hanging="0"/>
              <w:jc w:val="left"/>
              <w:rPr>
                <w:color w:val="000000"/>
              </w:rPr>
            </w:pPr>
            <w:r>
              <w:rPr>
                <w:color w:val="000000"/>
              </w:rPr>
              <w:drawing>
                <wp:inline distT="0" distB="0" distL="0" distR="0">
                  <wp:extent cx="466725" cy="46672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466725" cy="466725"/>
                          </a:xfrm>
                          <a:prstGeom prst="rect">
                            <a:avLst/>
                          </a:prstGeom>
                        </pic:spPr>
                      </pic:pic>
                    </a:graphicData>
                  </a:graphic>
                </wp:inline>
              </w:drawing>
            </w:r>
          </w:p>
        </w:tc>
        <w:tc>
          <w:tcPr>
            <w:tcW w:w="213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Donald E. Frieson (I)</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 xml:space="preserve">Retired Executive VP, Supply Chain, </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Lowe’s Companies,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5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68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2018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5"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7"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M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continue"/>
            <w:tcBorders/>
            <w:tcMar>
              <w:bottom w:w="0" w:type="dxa"/>
            </w:tcMar>
            <w:vAlign w:val="center"/>
          </w:tcPr>
          <w:p>
            <w:pPr>
              <w:pStyle w:val="Normal"/>
              <w:bidi w:val="0"/>
              <w:jc w:val="left"/>
              <w:rPr/>
            </w:pPr>
            <w:r>
              <w:rPr/>
            </w:r>
          </w:p>
        </w:tc>
        <w:tc>
          <w:tcPr>
            <w:tcW w:w="290" w:type="dxa"/>
            <w:vMerge w:val="continue"/>
            <w:tcBorders/>
            <w:tcMar>
              <w:bottom w:w="0" w:type="dxa"/>
            </w:tcMar>
            <w:vAlign w:val="center"/>
          </w:tcPr>
          <w:p>
            <w:pPr>
              <w:pStyle w:val="Normal"/>
              <w:bidi w:val="0"/>
              <w:jc w:val="left"/>
              <w:rPr/>
            </w:pPr>
            <w:r>
              <w:rPr/>
            </w:r>
          </w:p>
        </w:tc>
        <w:tc>
          <w:tcPr>
            <w:tcW w:w="170" w:type="dxa"/>
            <w:vMerge w:val="continue"/>
            <w:tcBorders/>
            <w:tcMar>
              <w:bottom w:w="0"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900" w:type="dxa"/>
            <w:vMerge w:val="continue"/>
            <w:tcBorders>
              <w:bottom w:val="single" w:sz="8" w:space="0" w:color="000000"/>
            </w:tcBorders>
            <w:tcMar>
              <w:bottom w:w="5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tcMar>
              <w:bottom w:w="0" w:type="dxa"/>
            </w:tcMar>
            <w:vAlign w:val="center"/>
          </w:tcPr>
          <w:p>
            <w:pPr>
              <w:pStyle w:val="Normal"/>
              <w:bidi w:val="0"/>
              <w:jc w:val="left"/>
              <w:rPr/>
            </w:pPr>
            <w:r>
              <w:rPr/>
            </w:r>
          </w:p>
        </w:tc>
        <w:tc>
          <w:tcPr>
            <w:tcW w:w="90" w:type="dxa"/>
            <w:vMerge w:val="continue"/>
            <w:tcBorders/>
            <w:tcMar>
              <w:bottom w:w="0" w:type="dxa"/>
            </w:tcMar>
            <w:vAlign w:val="center"/>
          </w:tcPr>
          <w:p>
            <w:pPr>
              <w:pStyle w:val="Normal"/>
              <w:bidi w:val="0"/>
              <w:jc w:val="left"/>
              <w:rPr/>
            </w:pPr>
            <w:r>
              <w:rPr/>
            </w:r>
          </w:p>
        </w:tc>
        <w:tc>
          <w:tcPr>
            <w:tcW w:w="217" w:type="dxa"/>
            <w:vMerge w:val="continue"/>
            <w:tcBorders/>
            <w:tcMar>
              <w:bottom w:w="0" w:type="dxa"/>
            </w:tcMar>
            <w:vAlign w:val="center"/>
          </w:tcPr>
          <w:p>
            <w:pPr>
              <w:pStyle w:val="Normal"/>
              <w:bidi w:val="0"/>
              <w:jc w:val="left"/>
              <w:rPr/>
            </w:pPr>
            <w:r>
              <w:rPr/>
            </w:r>
          </w:p>
        </w:tc>
      </w:tr>
      <w:tr>
        <w:trPr/>
        <w:tc>
          <w:tcPr>
            <w:tcW w:w="780" w:type="dxa"/>
            <w:tcBorders>
              <w:bottom w:val="single" w:sz="8" w:space="0" w:color="000000"/>
            </w:tcBorders>
            <w:tcMar>
              <w:bottom w:w="58" w:type="dxa"/>
            </w:tcMar>
            <w:vAlign w:val="center"/>
          </w:tcPr>
          <w:p>
            <w:pPr>
              <w:pStyle w:val="TableContents"/>
              <w:bidi w:val="0"/>
              <w:spacing w:before="0" w:after="283"/>
              <w:ind w:left="5" w:right="0" w:hanging="0"/>
              <w:jc w:val="left"/>
              <w:rPr>
                <w:color w:val="000000"/>
              </w:rPr>
            </w:pPr>
            <w:r>
              <w:rPr>
                <w:color w:val="000000"/>
              </w:rPr>
              <w:drawing>
                <wp:inline distT="0" distB="0" distL="0" distR="0">
                  <wp:extent cx="466725" cy="46672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466725" cy="466725"/>
                          </a:xfrm>
                          <a:prstGeom prst="rect">
                            <a:avLst/>
                          </a:prstGeom>
                        </pic:spPr>
                      </pic:pic>
                    </a:graphicData>
                  </a:graphic>
                </wp:inline>
              </w:drawing>
            </w:r>
          </w:p>
        </w:tc>
        <w:tc>
          <w:tcPr>
            <w:tcW w:w="213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David K. Lenhardt (I)</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 xml:space="preserve">Former President and CEO, </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PetSmart,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5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57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2018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5"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7"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restart"/>
            <w:tcBorders/>
            <w:tcMar>
              <w:bottom w:w="0" w:type="dxa"/>
            </w:tcMar>
            <w:vAlign w:val="center"/>
          </w:tcPr>
          <w:p>
            <w:pPr>
              <w:pStyle w:val="TableContents"/>
              <w:bidi w:val="0"/>
              <w:spacing w:before="0" w:after="0"/>
              <w:jc w:val="left"/>
              <w:rPr/>
            </w:pPr>
            <w:r>
              <w:rPr/>
              <w:t> </w:t>
            </w:r>
          </w:p>
        </w:tc>
        <w:tc>
          <w:tcPr>
            <w:tcW w:w="290" w:type="dxa"/>
            <w:vMerge w:val="restart"/>
            <w:tcBorders/>
            <w:tcMar>
              <w:bottom w:w="0" w:type="dxa"/>
            </w:tcMar>
            <w:vAlign w:val="center"/>
          </w:tcPr>
          <w:p>
            <w:pPr>
              <w:pStyle w:val="TableContents"/>
              <w:bidi w:val="0"/>
              <w:spacing w:before="0" w:after="0"/>
              <w:jc w:val="left"/>
              <w:rPr>
                <w:color w:val="000000"/>
              </w:rPr>
            </w:pPr>
            <w:r>
              <w:rPr>
                <w:color w:val="000000"/>
              </w:rPr>
              <w:t> </w:t>
            </w:r>
          </w:p>
        </w:tc>
        <w:tc>
          <w:tcPr>
            <w:tcW w:w="170" w:type="dxa"/>
            <w:vMerge w:val="restart"/>
            <w:tcBorders>
              <w:right w:val="single" w:sz="8" w:space="0" w:color="000000"/>
            </w:tcBorders>
            <w:tcMar>
              <w:bottom w:w="0"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900" w:type="dxa"/>
            <w:vMerge w:val="restart"/>
            <w:tcBorders>
              <w:bottom w:val="single" w:sz="8" w:space="0" w:color="000000"/>
            </w:tcBorders>
            <w:shd w:fill="F2F2F2" w:val="clear"/>
            <w:tcMar>
              <w:bottom w:w="58" w:type="dxa"/>
            </w:tcMar>
            <w:vAlign w:val="center"/>
          </w:tcPr>
          <w:p>
            <w:pPr>
              <w:pStyle w:val="TableContents"/>
              <w:bidi w:val="0"/>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 xml:space="preserve">(I) </w:t>
            </w:r>
            <w:r>
              <w:rPr>
                <w:rFonts w:ascii="Times New Roman;Times;serif" w:hAnsi="Times New Roman;Times;serif"/>
                <w:b w:val="false"/>
                <w:color w:val="000000"/>
                <w:sz w:val="17"/>
              </w:rPr>
              <w:t>= Independent</w:t>
            </w:r>
          </w:p>
          <w:p>
            <w:pPr>
              <w:pStyle w:val="TableContents"/>
              <w:bidi w:val="0"/>
              <w:spacing w:before="4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 xml:space="preserve">C </w:t>
            </w:r>
            <w:r>
              <w:rPr>
                <w:rFonts w:ascii="Times New Roman;Times;serif" w:hAnsi="Times New Roman;Times;serif"/>
                <w:b w:val="false"/>
                <w:color w:val="000000"/>
                <w:sz w:val="17"/>
              </w:rPr>
              <w:t>= Chair</w:t>
            </w:r>
          </w:p>
          <w:p>
            <w:pPr>
              <w:pStyle w:val="TableContents"/>
              <w:bidi w:val="0"/>
              <w:spacing w:before="4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 xml:space="preserve">M </w:t>
            </w:r>
            <w:r>
              <w:rPr>
                <w:rFonts w:ascii="Times New Roman;Times;serif" w:hAnsi="Times New Roman;Times;serif"/>
                <w:b w:val="false"/>
                <w:color w:val="000000"/>
                <w:sz w:val="17"/>
              </w:rPr>
              <w:t>= Member</w:t>
            </w:r>
          </w:p>
          <w:p>
            <w:pPr>
              <w:pStyle w:val="TableContents"/>
              <w:bidi w:val="0"/>
              <w:spacing w:before="4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 xml:space="preserve">A </w:t>
            </w:r>
            <w:r>
              <w:rPr>
                <w:rFonts w:ascii="Times New Roman;Times;serif" w:hAnsi="Times New Roman;Times;serif"/>
                <w:b w:val="false"/>
                <w:color w:val="000000"/>
                <w:sz w:val="17"/>
              </w:rPr>
              <w:t>= Audit</w:t>
            </w:r>
          </w:p>
          <w:p>
            <w:pPr>
              <w:pStyle w:val="TableContents"/>
              <w:bidi w:val="0"/>
              <w:spacing w:before="4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 xml:space="preserve">* </w:t>
            </w:r>
            <w:r>
              <w:rPr>
                <w:rFonts w:ascii="Times New Roman;Times;serif" w:hAnsi="Times New Roman;Times;serif"/>
                <w:b w:val="false"/>
                <w:color w:val="000000"/>
                <w:sz w:val="17"/>
              </w:rPr>
              <w:t>= Audit Committee Financial Expert</w:t>
            </w:r>
          </w:p>
          <w:p>
            <w:pPr>
              <w:pStyle w:val="TableContents"/>
              <w:bidi w:val="0"/>
              <w:spacing w:before="4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 xml:space="preserve">NCG </w:t>
            </w:r>
            <w:r>
              <w:rPr>
                <w:rFonts w:ascii="Times New Roman;Times;serif" w:hAnsi="Times New Roman;Times;serif"/>
                <w:b w:val="false"/>
                <w:color w:val="000000"/>
                <w:sz w:val="17"/>
              </w:rPr>
              <w:t>= Nominating and Corporate Gov.</w:t>
            </w:r>
          </w:p>
          <w:p>
            <w:pPr>
              <w:pStyle w:val="TableContents"/>
              <w:bidi w:val="0"/>
              <w:spacing w:before="4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 xml:space="preserve">C/HC </w:t>
            </w:r>
            <w:r>
              <w:rPr>
                <w:rFonts w:ascii="Times New Roman;Times;serif" w:hAnsi="Times New Roman;Times;serif"/>
                <w:b w:val="false"/>
                <w:color w:val="000000"/>
                <w:sz w:val="17"/>
              </w:rPr>
              <w:t>= Compensation and Human Capital</w:t>
            </w:r>
          </w:p>
        </w:tc>
        <w:tc>
          <w:tcPr>
            <w:tcW w:w="170" w:type="dxa"/>
            <w:vMerge w:val="restart"/>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vMerge w:val="restart"/>
            <w:tcBorders/>
            <w:tcMar>
              <w:bottom w:w="0" w:type="dxa"/>
            </w:tcMar>
            <w:vAlign w:val="center"/>
          </w:tcPr>
          <w:p>
            <w:pPr>
              <w:pStyle w:val="TableContents"/>
              <w:bidi w:val="0"/>
              <w:spacing w:before="0" w:after="0"/>
              <w:jc w:val="left"/>
              <w:rPr/>
            </w:pPr>
            <w:r>
              <w:rPr/>
              <w:t> </w:t>
            </w:r>
          </w:p>
        </w:tc>
        <w:tc>
          <w:tcPr>
            <w:tcW w:w="90" w:type="dxa"/>
            <w:vMerge w:val="restart"/>
            <w:tcBorders/>
            <w:tcMar>
              <w:bottom w:w="0" w:type="dxa"/>
            </w:tcMar>
            <w:vAlign w:val="center"/>
          </w:tcPr>
          <w:p>
            <w:pPr>
              <w:pStyle w:val="TableContents"/>
              <w:bidi w:val="0"/>
              <w:spacing w:before="0" w:after="0"/>
              <w:jc w:val="left"/>
              <w:rPr>
                <w:color w:val="000000"/>
              </w:rPr>
            </w:pPr>
            <w:r>
              <w:rPr>
                <w:color w:val="000000"/>
              </w:rPr>
              <w:t> </w:t>
            </w:r>
          </w:p>
        </w:tc>
        <w:tc>
          <w:tcPr>
            <w:tcW w:w="217" w:type="dxa"/>
            <w:vMerge w:val="restart"/>
            <w:tcBorders/>
            <w:tcMar>
              <w:bottom w:w="0" w:type="dxa"/>
            </w:tcMar>
            <w:vAlign w:val="center"/>
          </w:tcPr>
          <w:p>
            <w:pPr>
              <w:pStyle w:val="TableContents"/>
              <w:bidi w:val="0"/>
              <w:spacing w:before="0" w:after="0"/>
              <w:jc w:val="left"/>
              <w:rPr/>
            </w:pPr>
            <w:r>
              <w:rPr/>
              <w:t> </w:t>
            </w:r>
          </w:p>
        </w:tc>
      </w:tr>
      <w:tr>
        <w:trPr/>
        <w:tc>
          <w:tcPr>
            <w:tcW w:w="780" w:type="dxa"/>
            <w:tcBorders>
              <w:bottom w:val="single" w:sz="8" w:space="0" w:color="000000"/>
            </w:tcBorders>
            <w:tcMar>
              <w:bottom w:w="58" w:type="dxa"/>
            </w:tcMar>
            <w:vAlign w:val="center"/>
          </w:tcPr>
          <w:p>
            <w:pPr>
              <w:pStyle w:val="TableContents"/>
              <w:bidi w:val="0"/>
              <w:spacing w:before="0" w:after="283"/>
              <w:ind w:left="5" w:right="0" w:hanging="0"/>
              <w:jc w:val="left"/>
              <w:rPr>
                <w:color w:val="000000"/>
              </w:rPr>
            </w:pPr>
            <w:r>
              <w:rPr>
                <w:color w:val="000000"/>
              </w:rPr>
              <w:drawing>
                <wp:inline distT="0" distB="0" distL="0" distR="0">
                  <wp:extent cx="466725" cy="46672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466725" cy="466725"/>
                          </a:xfrm>
                          <a:prstGeom prst="rect">
                            <a:avLst/>
                          </a:prstGeom>
                        </pic:spPr>
                      </pic:pic>
                    </a:graphicData>
                  </a:graphic>
                </wp:inline>
              </w:drawing>
            </w:r>
          </w:p>
        </w:tc>
        <w:tc>
          <w:tcPr>
            <w:tcW w:w="213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Maria Castañón Moats (I)</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 xml:space="preserve">Retired Partner, </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PricewaterhouseCoopers, LLP</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5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58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2024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7"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continue"/>
            <w:tcBorders/>
            <w:tcMar>
              <w:bottom w:w="0" w:type="dxa"/>
            </w:tcMar>
            <w:vAlign w:val="center"/>
          </w:tcPr>
          <w:p>
            <w:pPr>
              <w:pStyle w:val="Normal"/>
              <w:bidi w:val="0"/>
              <w:jc w:val="left"/>
              <w:rPr/>
            </w:pPr>
            <w:r>
              <w:rPr/>
            </w:r>
          </w:p>
        </w:tc>
        <w:tc>
          <w:tcPr>
            <w:tcW w:w="290" w:type="dxa"/>
            <w:vMerge w:val="continue"/>
            <w:tcBorders/>
            <w:tcMar>
              <w:bottom w:w="0" w:type="dxa"/>
            </w:tcMar>
            <w:vAlign w:val="center"/>
          </w:tcPr>
          <w:p>
            <w:pPr>
              <w:pStyle w:val="Normal"/>
              <w:bidi w:val="0"/>
              <w:jc w:val="left"/>
              <w:rPr/>
            </w:pPr>
            <w:r>
              <w:rPr/>
            </w:r>
          </w:p>
        </w:tc>
        <w:tc>
          <w:tcPr>
            <w:tcW w:w="170" w:type="dxa"/>
            <w:vMerge w:val="continue"/>
            <w:tcBorders>
              <w:right w:val="single" w:sz="8" w:space="0" w:color="000000"/>
            </w:tcBorders>
            <w:tcMar>
              <w:bottom w:w="0" w:type="dxa"/>
              <w:right w:w="28" w:type="dxa"/>
            </w:tcMar>
            <w:vAlign w:val="center"/>
          </w:tcPr>
          <w:p>
            <w:pPr>
              <w:pStyle w:val="Normal"/>
              <w:bidi w:val="0"/>
              <w:jc w:val="left"/>
              <w:rPr/>
            </w:pPr>
            <w:r>
              <w:rPr/>
            </w:r>
          </w:p>
        </w:tc>
        <w:tc>
          <w:tcPr>
            <w:tcW w:w="170" w:type="dxa"/>
            <w:vMerge w:val="continue"/>
            <w:tcBorders>
              <w:bottom w:val="single" w:sz="8" w:space="0" w:color="000000"/>
            </w:tcBorders>
            <w:shd w:fill="F2F2F2" w:val="clear"/>
            <w:tcMar>
              <w:bottom w:w="28" w:type="dxa"/>
            </w:tcMar>
            <w:vAlign w:val="center"/>
          </w:tcPr>
          <w:p>
            <w:pPr>
              <w:pStyle w:val="Normal"/>
              <w:bidi w:val="0"/>
              <w:jc w:val="left"/>
              <w:rPr/>
            </w:pPr>
            <w:r>
              <w:rPr/>
            </w:r>
          </w:p>
        </w:tc>
        <w:tc>
          <w:tcPr>
            <w:tcW w:w="1900" w:type="dxa"/>
            <w:vMerge w:val="continue"/>
            <w:tcBorders>
              <w:bottom w:val="single" w:sz="8" w:space="0" w:color="000000"/>
            </w:tcBorders>
            <w:shd w:fill="F2F2F2" w:val="clear"/>
            <w:tcMar>
              <w:bottom w:w="58"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F2F2F2" w:val="clear"/>
            <w:tcMar>
              <w:bottom w:w="28" w:type="dxa"/>
              <w:right w:w="28" w:type="dxa"/>
            </w:tcMar>
            <w:vAlign w:val="center"/>
          </w:tcPr>
          <w:p>
            <w:pPr>
              <w:pStyle w:val="Normal"/>
              <w:bidi w:val="0"/>
              <w:jc w:val="left"/>
              <w:rPr/>
            </w:pPr>
            <w:r>
              <w:rPr/>
            </w:r>
          </w:p>
        </w:tc>
        <w:tc>
          <w:tcPr>
            <w:tcW w:w="170" w:type="dxa"/>
            <w:vMerge w:val="continue"/>
            <w:tcBorders/>
            <w:tcMar>
              <w:bottom w:w="0" w:type="dxa"/>
            </w:tcMar>
            <w:vAlign w:val="center"/>
          </w:tcPr>
          <w:p>
            <w:pPr>
              <w:pStyle w:val="Normal"/>
              <w:bidi w:val="0"/>
              <w:jc w:val="left"/>
              <w:rPr/>
            </w:pPr>
            <w:r>
              <w:rPr/>
            </w:r>
          </w:p>
        </w:tc>
        <w:tc>
          <w:tcPr>
            <w:tcW w:w="90" w:type="dxa"/>
            <w:vMerge w:val="continue"/>
            <w:tcBorders/>
            <w:tcMar>
              <w:bottom w:w="0" w:type="dxa"/>
            </w:tcMar>
            <w:vAlign w:val="center"/>
          </w:tcPr>
          <w:p>
            <w:pPr>
              <w:pStyle w:val="Normal"/>
              <w:bidi w:val="0"/>
              <w:jc w:val="left"/>
              <w:rPr/>
            </w:pPr>
            <w:r>
              <w:rPr/>
            </w:r>
          </w:p>
        </w:tc>
        <w:tc>
          <w:tcPr>
            <w:tcW w:w="217" w:type="dxa"/>
            <w:vMerge w:val="continue"/>
            <w:tcBorders/>
            <w:tcMar>
              <w:bottom w:w="0" w:type="dxa"/>
            </w:tcMar>
            <w:vAlign w:val="center"/>
          </w:tcPr>
          <w:p>
            <w:pPr>
              <w:pStyle w:val="Normal"/>
              <w:bidi w:val="0"/>
              <w:jc w:val="left"/>
              <w:rPr/>
            </w:pPr>
            <w:r>
              <w:rPr/>
            </w:r>
          </w:p>
        </w:tc>
      </w:tr>
      <w:tr>
        <w:trPr/>
        <w:tc>
          <w:tcPr>
            <w:tcW w:w="780" w:type="dxa"/>
            <w:tcBorders>
              <w:bottom w:val="single" w:sz="8" w:space="0" w:color="000000"/>
            </w:tcBorders>
            <w:tcMar>
              <w:bottom w:w="58" w:type="dxa"/>
            </w:tcMar>
            <w:vAlign w:val="center"/>
          </w:tcPr>
          <w:p>
            <w:pPr>
              <w:pStyle w:val="TableContents"/>
              <w:bidi w:val="0"/>
              <w:spacing w:before="0" w:after="283"/>
              <w:ind w:left="5" w:right="0" w:hanging="0"/>
              <w:jc w:val="left"/>
              <w:rPr>
                <w:color w:val="000000"/>
              </w:rPr>
            </w:pPr>
            <w:r>
              <w:rPr>
                <w:color w:val="000000"/>
              </w:rPr>
              <w:drawing>
                <wp:inline distT="0" distB="0" distL="0" distR="0">
                  <wp:extent cx="466725" cy="46672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466725" cy="466725"/>
                          </a:xfrm>
                          <a:prstGeom prst="rect">
                            <a:avLst/>
                          </a:prstGeom>
                        </pic:spPr>
                      </pic:pic>
                    </a:graphicData>
                  </a:graphic>
                </wp:inline>
              </w:drawing>
            </w:r>
          </w:p>
        </w:tc>
        <w:tc>
          <w:tcPr>
            <w:tcW w:w="213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Larree M. Renda (I)</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Retired Executive VP, Safeway,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5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68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2014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5"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M</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7"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3347" w:type="dxa"/>
            <w:gridSpan w:val="9"/>
            <w:tcBorders/>
            <w:tcMar>
              <w:bottom w:w="0" w:type="dxa"/>
            </w:tcMar>
          </w:tcPr>
          <w:p>
            <w:pPr>
              <w:pStyle w:val="TableContents"/>
              <w:bidi w:val="0"/>
              <w:spacing w:before="0" w:after="283"/>
              <w:jc w:val="left"/>
              <w:rPr>
                <w:sz w:val="4"/>
                <w:szCs w:val="4"/>
              </w:rPr>
            </w:pPr>
            <w:r>
              <w:rPr>
                <w:sz w:val="4"/>
                <w:szCs w:val="4"/>
              </w:rPr>
            </w:r>
          </w:p>
        </w:tc>
      </w:tr>
      <w:tr>
        <w:trPr/>
        <w:tc>
          <w:tcPr>
            <w:tcW w:w="780" w:type="dxa"/>
            <w:tcBorders>
              <w:bottom w:val="single" w:sz="8" w:space="0" w:color="000000"/>
            </w:tcBorders>
            <w:tcMar>
              <w:bottom w:w="58" w:type="dxa"/>
            </w:tcMar>
            <w:vAlign w:val="center"/>
          </w:tcPr>
          <w:p>
            <w:pPr>
              <w:pStyle w:val="TableContents"/>
              <w:bidi w:val="0"/>
              <w:spacing w:before="0" w:after="283"/>
              <w:ind w:left="5" w:right="0" w:hanging="0"/>
              <w:jc w:val="left"/>
              <w:rPr>
                <w:color w:val="000000"/>
              </w:rPr>
            </w:pPr>
            <w:r>
              <w:rPr>
                <w:color w:val="000000"/>
              </w:rPr>
              <w:drawing>
                <wp:inline distT="0" distB="0" distL="0" distR="0">
                  <wp:extent cx="466725" cy="46672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466725" cy="466725"/>
                          </a:xfrm>
                          <a:prstGeom prst="rect">
                            <a:avLst/>
                          </a:prstGeom>
                        </pic:spPr>
                      </pic:pic>
                    </a:graphicData>
                  </a:graphic>
                </wp:inline>
              </w:drawing>
            </w:r>
          </w:p>
        </w:tc>
        <w:tc>
          <w:tcPr>
            <w:tcW w:w="213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Michael Spanos (I)</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CEO, Bloomin’ Brands,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5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61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2022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M*</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7"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3347" w:type="dxa"/>
            <w:gridSpan w:val="9"/>
            <w:tcBorders/>
            <w:tcMar>
              <w:bottom w:w="0" w:type="dxa"/>
            </w:tcMar>
          </w:tcPr>
          <w:p>
            <w:pPr>
              <w:pStyle w:val="TableContents"/>
              <w:bidi w:val="0"/>
              <w:spacing w:before="0" w:after="283"/>
              <w:jc w:val="left"/>
              <w:rPr>
                <w:sz w:val="4"/>
                <w:szCs w:val="4"/>
              </w:rPr>
            </w:pPr>
            <w:r>
              <w:rPr>
                <w:sz w:val="4"/>
                <w:szCs w:val="4"/>
              </w:rPr>
            </w:r>
          </w:p>
        </w:tc>
      </w:tr>
      <w:tr>
        <w:trPr/>
        <w:tc>
          <w:tcPr>
            <w:tcW w:w="780" w:type="dxa"/>
            <w:tcBorders>
              <w:bottom w:val="single" w:sz="8" w:space="0" w:color="000000"/>
            </w:tcBorders>
            <w:tcMar>
              <w:bottom w:w="58" w:type="dxa"/>
            </w:tcMar>
            <w:vAlign w:val="center"/>
          </w:tcPr>
          <w:p>
            <w:pPr>
              <w:pStyle w:val="TableContents"/>
              <w:bidi w:val="0"/>
              <w:spacing w:before="0" w:after="283"/>
              <w:ind w:left="5" w:right="0" w:hanging="0"/>
              <w:jc w:val="left"/>
              <w:rPr>
                <w:color w:val="000000"/>
              </w:rPr>
            </w:pPr>
            <w:r>
              <w:rPr>
                <w:color w:val="000000"/>
              </w:rPr>
              <w:drawing>
                <wp:inline distT="0" distB="0" distL="0" distR="0">
                  <wp:extent cx="466725" cy="46672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466725" cy="466725"/>
                          </a:xfrm>
                          <a:prstGeom prst="rect">
                            <a:avLst/>
                          </a:prstGeom>
                        </pic:spPr>
                      </pic:pic>
                    </a:graphicData>
                  </a:graphic>
                </wp:inline>
              </w:drawing>
            </w:r>
          </w:p>
        </w:tc>
        <w:tc>
          <w:tcPr>
            <w:tcW w:w="213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Stanley J. Sutula III (I)</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CFO, Colgate-Palmolive Company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5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60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2026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M*</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7"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3347" w:type="dxa"/>
            <w:gridSpan w:val="9"/>
            <w:tcBorders/>
            <w:tcMar>
              <w:bottom w:w="0" w:type="dxa"/>
            </w:tcMar>
          </w:tcPr>
          <w:p>
            <w:pPr>
              <w:pStyle w:val="TableContents"/>
              <w:bidi w:val="0"/>
              <w:spacing w:before="0" w:after="283"/>
              <w:jc w:val="left"/>
              <w:rPr>
                <w:sz w:val="4"/>
                <w:szCs w:val="4"/>
              </w:rPr>
            </w:pPr>
            <w:r>
              <w:rPr>
                <w:sz w:val="4"/>
                <w:szCs w:val="4"/>
              </w:rPr>
            </w:r>
          </w:p>
        </w:tc>
      </w:tr>
      <w:tr>
        <w:trPr/>
        <w:tc>
          <w:tcPr>
            <w:tcW w:w="780" w:type="dxa"/>
            <w:tcBorders>
              <w:bottom w:val="single" w:sz="8" w:space="0" w:color="000000"/>
            </w:tcBorders>
            <w:tcMar>
              <w:bottom w:w="58" w:type="dxa"/>
            </w:tcMar>
            <w:vAlign w:val="center"/>
          </w:tcPr>
          <w:p>
            <w:pPr>
              <w:pStyle w:val="TableContents"/>
              <w:bidi w:val="0"/>
              <w:spacing w:before="0" w:after="283"/>
              <w:ind w:left="5" w:right="0" w:hanging="0"/>
              <w:jc w:val="left"/>
              <w:rPr>
                <w:color w:val="000000"/>
              </w:rPr>
            </w:pPr>
            <w:r>
              <w:rPr>
                <w:color w:val="000000"/>
              </w:rPr>
              <w:drawing>
                <wp:inline distT="0" distB="0" distL="0" distR="0">
                  <wp:extent cx="466725" cy="46672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466725" cy="466725"/>
                          </a:xfrm>
                          <a:prstGeom prst="rect">
                            <a:avLst/>
                          </a:prstGeom>
                        </pic:spPr>
                      </pic:pic>
                    </a:graphicData>
                  </a:graphic>
                </wp:inline>
              </w:drawing>
            </w:r>
          </w:p>
        </w:tc>
        <w:tc>
          <w:tcPr>
            <w:tcW w:w="213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Gregory A. Trojan (I)</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Former CEO, BJ’s Restaurants,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5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67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2021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5"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5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7"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C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3347" w:type="dxa"/>
            <w:gridSpan w:val="9"/>
            <w:tcBorders/>
            <w:tcMar>
              <w:bottom w:w="0" w:type="dxa"/>
            </w:tcMar>
          </w:tcPr>
          <w:p>
            <w:pPr>
              <w:pStyle w:val="TableContents"/>
              <w:bidi w:val="0"/>
              <w:spacing w:before="0" w:after="283"/>
              <w:jc w:val="left"/>
              <w:rPr>
                <w:sz w:val="4"/>
                <w:szCs w:val="4"/>
              </w:rPr>
            </w:pPr>
            <w:r>
              <w:rPr>
                <w:sz w:val="4"/>
                <w:szCs w:val="4"/>
              </w:rPr>
            </w:r>
          </w:p>
        </w:tc>
      </w:tr>
      <w:tr>
        <w:trPr/>
        <w:tc>
          <w:tcPr>
            <w:tcW w:w="780" w:type="dxa"/>
            <w:tcBorders/>
            <w:tcMar>
              <w:bottom w:w="0" w:type="dxa"/>
            </w:tcMar>
            <w:vAlign w:val="center"/>
          </w:tcPr>
          <w:p>
            <w:pPr>
              <w:pStyle w:val="TableContents"/>
              <w:bidi w:val="0"/>
              <w:spacing w:before="0" w:after="283"/>
              <w:ind w:left="5" w:right="0" w:hanging="0"/>
              <w:jc w:val="left"/>
              <w:rPr>
                <w:color w:val="000000"/>
              </w:rPr>
            </w:pPr>
            <w:r>
              <w:rPr>
                <w:color w:val="000000"/>
              </w:rPr>
              <w:drawing>
                <wp:inline distT="0" distB="0" distL="0" distR="0">
                  <wp:extent cx="466725" cy="46672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466725" cy="466725"/>
                          </a:xfrm>
                          <a:prstGeom prst="rect">
                            <a:avLst/>
                          </a:prstGeom>
                        </pic:spPr>
                      </pic:pic>
                    </a:graphicData>
                  </a:graphic>
                </wp:inline>
              </w:drawing>
            </w:r>
          </w:p>
        </w:tc>
        <w:tc>
          <w:tcPr>
            <w:tcW w:w="2131" w:type="dxa"/>
            <w:tcBorders/>
            <w:tcMar>
              <w:bottom w:w="0"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Allison M. Wing (I)</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CEO, Oobli, Inc.</w:t>
            </w:r>
          </w:p>
        </w:tc>
        <w:tc>
          <w:tcPr>
            <w:tcW w:w="170" w:type="dxa"/>
            <w:tcBorders>
              <w:right w:val="single" w:sz="8" w:space="0" w:color="000000"/>
            </w:tcBorders>
            <w:tcMar>
              <w:bottom w:w="0" w:type="dxa"/>
              <w:right w:w="28" w:type="dxa"/>
            </w:tcMar>
            <w:vAlign w:val="center"/>
          </w:tcPr>
          <w:p>
            <w:pPr>
              <w:pStyle w:val="TableContents"/>
              <w:bidi w:val="0"/>
              <w:spacing w:before="0" w:after="0"/>
              <w:jc w:val="left"/>
              <w:rPr/>
            </w:pPr>
            <w:r>
              <w:rPr/>
              <w:t> </w:t>
            </w:r>
          </w:p>
        </w:tc>
        <w:tc>
          <w:tcPr>
            <w:tcW w:w="170" w:type="dxa"/>
            <w:tcBorders/>
            <w:tcMar>
              <w:bottom w:w="0" w:type="dxa"/>
            </w:tcMar>
            <w:vAlign w:val="center"/>
          </w:tcPr>
          <w:p>
            <w:pPr>
              <w:pStyle w:val="TableContents"/>
              <w:bidi w:val="0"/>
              <w:spacing w:before="0" w:after="0"/>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59</w:t>
            </w:r>
          </w:p>
        </w:tc>
        <w:tc>
          <w:tcPr>
            <w:tcW w:w="170" w:type="dxa"/>
            <w:tcBorders>
              <w:right w:val="single" w:sz="8" w:space="0" w:color="000000"/>
            </w:tcBorders>
            <w:tcMar>
              <w:bottom w:w="0" w:type="dxa"/>
              <w:right w:w="28" w:type="dxa"/>
            </w:tcMar>
            <w:vAlign w:val="center"/>
          </w:tcPr>
          <w:p>
            <w:pPr>
              <w:pStyle w:val="TableContents"/>
              <w:bidi w:val="0"/>
              <w:spacing w:before="0" w:after="0"/>
              <w:jc w:val="left"/>
              <w:rPr/>
            </w:pPr>
            <w:r>
              <w:rPr/>
              <w:t> </w:t>
            </w:r>
          </w:p>
        </w:tc>
        <w:tc>
          <w:tcPr>
            <w:tcW w:w="170" w:type="dxa"/>
            <w:tcBorders/>
            <w:tcMar>
              <w:bottom w:w="0" w:type="dxa"/>
            </w:tcMar>
            <w:vAlign w:val="center"/>
          </w:tcPr>
          <w:p>
            <w:pPr>
              <w:pStyle w:val="TableContents"/>
              <w:bidi w:val="0"/>
              <w:spacing w:before="0" w:after="0"/>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2018</w:t>
            </w:r>
          </w:p>
        </w:tc>
        <w:tc>
          <w:tcPr>
            <w:tcW w:w="170" w:type="dxa"/>
            <w:tcBorders>
              <w:right w:val="single" w:sz="8" w:space="0" w:color="000000"/>
            </w:tcBorders>
            <w:tcMar>
              <w:bottom w:w="0" w:type="dxa"/>
              <w:right w:w="28" w:type="dxa"/>
            </w:tcMar>
            <w:vAlign w:val="center"/>
          </w:tcPr>
          <w:p>
            <w:pPr>
              <w:pStyle w:val="TableContents"/>
              <w:bidi w:val="0"/>
              <w:spacing w:before="0" w:after="0"/>
              <w:jc w:val="left"/>
              <w:rPr/>
            </w:pPr>
            <w:r>
              <w:rPr/>
              <w:t> </w:t>
            </w:r>
          </w:p>
        </w:tc>
        <w:tc>
          <w:tcPr>
            <w:tcW w:w="170" w:type="dxa"/>
            <w:tcBorders/>
            <w:tcMar>
              <w:bottom w:w="0" w:type="dxa"/>
            </w:tcMar>
            <w:vAlign w:val="center"/>
          </w:tcPr>
          <w:p>
            <w:pPr>
              <w:pStyle w:val="TableContents"/>
              <w:bidi w:val="0"/>
              <w:spacing w:before="0" w:after="0"/>
              <w:jc w:val="left"/>
              <w:rPr/>
            </w:pPr>
            <w:r>
              <w:rPr/>
              <w:t> </w:t>
            </w:r>
          </w:p>
        </w:tc>
        <w:tc>
          <w:tcPr>
            <w:tcW w:w="235" w:type="dxa"/>
            <w:tcBorders/>
            <w:tcMar>
              <w:bottom w:w="0" w:type="dxa"/>
            </w:tcMar>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bottom w:w="0" w:type="dxa"/>
              <w:right w:w="28" w:type="dxa"/>
            </w:tcMar>
            <w:vAlign w:val="center"/>
          </w:tcPr>
          <w:p>
            <w:pPr>
              <w:pStyle w:val="TableContents"/>
              <w:bidi w:val="0"/>
              <w:spacing w:before="0" w:after="0"/>
              <w:jc w:val="left"/>
              <w:rPr/>
            </w:pPr>
            <w:r>
              <w:rPr/>
              <w:t> </w:t>
            </w:r>
          </w:p>
        </w:tc>
        <w:tc>
          <w:tcPr>
            <w:tcW w:w="170" w:type="dxa"/>
            <w:tcBorders/>
            <w:tcMar>
              <w:bottom w:w="0" w:type="dxa"/>
            </w:tcMar>
            <w:vAlign w:val="center"/>
          </w:tcPr>
          <w:p>
            <w:pPr>
              <w:pStyle w:val="TableContents"/>
              <w:bidi w:val="0"/>
              <w:spacing w:before="0" w:after="0"/>
              <w:jc w:val="left"/>
              <w:rPr/>
            </w:pPr>
            <w:r>
              <w:rPr/>
              <w:t> </w:t>
            </w:r>
          </w:p>
        </w:tc>
        <w:tc>
          <w:tcPr>
            <w:tcW w:w="425" w:type="dxa"/>
            <w:tcBorders/>
            <w:tcMar>
              <w:bottom w:w="0" w:type="dxa"/>
            </w:tcMar>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bottom w:w="0" w:type="dxa"/>
              <w:right w:w="28" w:type="dxa"/>
            </w:tcMar>
            <w:vAlign w:val="center"/>
          </w:tcPr>
          <w:p>
            <w:pPr>
              <w:pStyle w:val="TableContents"/>
              <w:bidi w:val="0"/>
              <w:spacing w:before="0" w:after="0"/>
              <w:jc w:val="left"/>
              <w:rPr/>
            </w:pPr>
            <w:r>
              <w:rPr/>
              <w:t> </w:t>
            </w:r>
          </w:p>
        </w:tc>
        <w:tc>
          <w:tcPr>
            <w:tcW w:w="170" w:type="dxa"/>
            <w:tcBorders/>
            <w:tcMar>
              <w:bottom w:w="0" w:type="dxa"/>
            </w:tcMar>
            <w:vAlign w:val="center"/>
          </w:tcPr>
          <w:p>
            <w:pPr>
              <w:pStyle w:val="TableContents"/>
              <w:bidi w:val="0"/>
              <w:spacing w:before="0" w:after="0"/>
              <w:jc w:val="left"/>
              <w:rPr/>
            </w:pPr>
            <w:r>
              <w:rPr/>
              <w:t> </w:t>
            </w:r>
          </w:p>
        </w:tc>
        <w:tc>
          <w:tcPr>
            <w:tcW w:w="387" w:type="dxa"/>
            <w:tcBorders/>
            <w:tcMar>
              <w:bottom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M</w:t>
            </w:r>
          </w:p>
        </w:tc>
        <w:tc>
          <w:tcPr>
            <w:tcW w:w="170" w:type="dxa"/>
            <w:tcBorders>
              <w:right w:val="single" w:sz="8" w:space="0" w:color="000000"/>
            </w:tcBorders>
            <w:tcMar>
              <w:bottom w:w="0" w:type="dxa"/>
              <w:right w:w="28" w:type="dxa"/>
            </w:tcMar>
            <w:vAlign w:val="center"/>
          </w:tcPr>
          <w:p>
            <w:pPr>
              <w:pStyle w:val="TableContents"/>
              <w:bidi w:val="0"/>
              <w:spacing w:before="0" w:after="0"/>
              <w:jc w:val="left"/>
              <w:rPr/>
            </w:pPr>
            <w:r>
              <w:rPr/>
              <w:t> </w:t>
            </w:r>
          </w:p>
        </w:tc>
        <w:tc>
          <w:tcPr>
            <w:tcW w:w="3347" w:type="dxa"/>
            <w:gridSpan w:val="9"/>
            <w:tcBorders/>
            <w:tcMar>
              <w:bottom w:w="0" w:type="dxa"/>
            </w:tcMar>
          </w:tcPr>
          <w:p>
            <w:pPr>
              <w:pStyle w:val="TableContents"/>
              <w:bidi w:val="0"/>
              <w:spacing w:before="0" w:after="283"/>
              <w:jc w:val="left"/>
              <w:rPr>
                <w:sz w:val="4"/>
                <w:szCs w:val="4"/>
              </w:rPr>
            </w:pPr>
            <w:r>
              <w:rPr>
                <w:sz w:val="4"/>
                <w:szCs w:val="4"/>
              </w:rPr>
            </w:r>
          </w:p>
        </w:tc>
      </w:tr>
    </w:tbl>
    <w:tbl>
      <w:tblPr>
        <w:tblW w:w="3510" w:type="dxa"/>
        <w:jc w:val="left"/>
        <w:tblInd w:w="0" w:type="dxa"/>
        <w:tblLayout w:type="fixed"/>
        <w:tblCellMar>
          <w:top w:w="0" w:type="dxa"/>
          <w:left w:w="0" w:type="dxa"/>
          <w:bottom w:w="0" w:type="dxa"/>
          <w:right w:w="0" w:type="dxa"/>
        </w:tblCellMar>
      </w:tblPr>
      <w:tblGrid>
        <w:gridCol w:w="1985"/>
        <w:gridCol w:w="170"/>
        <w:gridCol w:w="170"/>
        <w:gridCol w:w="17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 w:name="ny20072699x1_def14a_103-summary_pg3"/>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Proposal 2 Summary: Ratify Independent Registered Public Accounting Firm</w:t>
      </w:r>
      <w:r>
        <w:rPr>
          <w:rFonts w:ascii="Times New Roman;Times;serif" w:hAnsi="Times New Roman;Times;serif"/>
          <w:b/>
          <w:color w:val="000000"/>
          <w:sz w:val="19"/>
        </w:rPr>
        <w:t xml:space="preserve"> </w:t>
      </w:r>
    </w:p>
    <w:p>
      <w:pPr>
        <w:pStyle w:val="TextBody"/>
        <w:bidi w:val="0"/>
        <w:spacing w:before="20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**The Board recommends a vote </w:t>
      </w:r>
      <w:r>
        <w:rPr>
          <w:rFonts w:ascii="Times New Roman;Times;serif" w:hAnsi="Times New Roman;Times;serif"/>
          <w:b/>
          <w:i/>
          <w:color w:val="000000"/>
          <w:sz w:val="19"/>
          <w:u w:val="single"/>
        </w:rPr>
        <w:t>FOR</w:t>
      </w:r>
      <w:r>
        <w:rPr>
          <w:rFonts w:ascii="Times New Roman;Times;serif" w:hAnsi="Times New Roman;Times;serif"/>
          <w:b/>
          <w:color w:val="000000"/>
          <w:sz w:val="19"/>
        </w:rPr>
        <w:t xml:space="preserve"> ratification of KPMG** </w:t>
      </w:r>
    </w:p>
    <w:tbl>
      <w:tblPr>
        <w:tblW w:w="9750" w:type="dxa"/>
        <w:jc w:val="left"/>
        <w:tblInd w:w="0" w:type="dxa"/>
        <w:tblLayout w:type="fixed"/>
        <w:tblCellMar>
          <w:top w:w="0" w:type="dxa"/>
          <w:left w:w="0" w:type="dxa"/>
          <w:bottom w:w="0" w:type="dxa"/>
          <w:right w:w="0" w:type="dxa"/>
        </w:tblCellMar>
      </w:tblPr>
      <w:tblGrid>
        <w:gridCol w:w="185"/>
        <w:gridCol w:w="9350"/>
        <w:gridCol w:w="215"/>
      </w:tblGrid>
      <w:tr>
        <w:trPr/>
        <w:tc>
          <w:tcPr>
            <w:tcW w:w="185" w:type="dxa"/>
            <w:tcBorders/>
            <w:shd w:fill="D9D9D9" w:val="clear"/>
            <w:vAlign w:val="center"/>
          </w:tcPr>
          <w:p>
            <w:pPr>
              <w:pStyle w:val="TableContents"/>
              <w:bidi w:val="0"/>
              <w:spacing w:before="0" w:after="0"/>
              <w:jc w:val="left"/>
              <w:rPr/>
            </w:pPr>
            <w:r>
              <w:rPr/>
              <w:t> </w:t>
            </w:r>
          </w:p>
        </w:tc>
        <w:tc>
          <w:tcPr>
            <w:tcW w:w="9350"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350"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Summary Information About KPMG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35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The Audit Committee has selected KPMG LLP to act as its independent registered public accounting firm for the fiscal year ending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April 30, 2027, and seeks ratification of the selection. KPMG has been the Company’s auditor since 1987.</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35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Proposal 3 Summary: “Say on Pay”</w:t>
      </w:r>
      <w:r>
        <w:rPr>
          <w:rFonts w:ascii="Times New Roman;Times;serif" w:hAnsi="Times New Roman;Times;serif"/>
          <w:b/>
          <w:color w:val="000000"/>
          <w:sz w:val="19"/>
        </w:rPr>
        <w:t xml:space="preserve"> </w:t>
      </w:r>
    </w:p>
    <w:p>
      <w:pPr>
        <w:pStyle w:val="TextBody"/>
        <w:bidi w:val="0"/>
        <w:spacing w:before="20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**The Board recommends a vote </w:t>
      </w:r>
      <w:r>
        <w:rPr>
          <w:rFonts w:ascii="Times New Roman;Times;serif" w:hAnsi="Times New Roman;Times;serif"/>
          <w:b/>
          <w:i/>
          <w:color w:val="000000"/>
          <w:sz w:val="19"/>
          <w:u w:val="single"/>
        </w:rPr>
        <w:t>FOR</w:t>
      </w:r>
      <w:r>
        <w:rPr>
          <w:rFonts w:ascii="Times New Roman;Times;serif" w:hAnsi="Times New Roman;Times;serif"/>
          <w:b/>
          <w:color w:val="000000"/>
          <w:sz w:val="19"/>
        </w:rPr>
        <w:t xml:space="preserve"> its NEO compensation** </w:t>
      </w:r>
    </w:p>
    <w:tbl>
      <w:tblPr>
        <w:tblW w:w="10205" w:type="dxa"/>
        <w:jc w:val="left"/>
        <w:tblInd w:w="0" w:type="dxa"/>
        <w:tblLayout w:type="fixed"/>
        <w:tblCellMar>
          <w:top w:w="0" w:type="dxa"/>
          <w:left w:w="0" w:type="dxa"/>
          <w:bottom w:w="0" w:type="dxa"/>
          <w:right w:w="0" w:type="dxa"/>
        </w:tblCellMar>
      </w:tblPr>
      <w:tblGrid>
        <w:gridCol w:w="185"/>
        <w:gridCol w:w="855"/>
        <w:gridCol w:w="170"/>
        <w:gridCol w:w="170"/>
        <w:gridCol w:w="1926"/>
        <w:gridCol w:w="170"/>
        <w:gridCol w:w="170"/>
        <w:gridCol w:w="6343"/>
        <w:gridCol w:w="216"/>
      </w:tblGrid>
      <w:tr>
        <w:trPr/>
        <w:tc>
          <w:tcPr>
            <w:tcW w:w="185" w:type="dxa"/>
            <w:tcBorders/>
            <w:shd w:fill="D9D9D9" w:val="clear"/>
            <w:vAlign w:val="center"/>
          </w:tcPr>
          <w:p>
            <w:pPr>
              <w:pStyle w:val="TableContents"/>
              <w:bidi w:val="0"/>
              <w:spacing w:before="0" w:after="0"/>
              <w:jc w:val="left"/>
              <w:rPr/>
            </w:pPr>
            <w:r>
              <w:rPr/>
              <w:t> </w:t>
            </w:r>
          </w:p>
        </w:tc>
        <w:tc>
          <w:tcPr>
            <w:tcW w:w="3121" w:type="dxa"/>
            <w:gridSpan w:val="4"/>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43" w:type="dxa"/>
            <w:tcBorders/>
            <w:shd w:fill="D9D9D9" w:val="clear"/>
            <w:vAlign w:val="center"/>
          </w:tcPr>
          <w:p>
            <w:pPr>
              <w:pStyle w:val="TableContents"/>
              <w:bidi w:val="0"/>
              <w:spacing w:before="0" w:after="0"/>
              <w:jc w:val="left"/>
              <w:rPr/>
            </w:pPr>
            <w:r>
              <w:rPr/>
              <w:t>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3121" w:type="dxa"/>
            <w:gridSpan w:val="4"/>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FY26 Named Executive Officers</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6343"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Compensation Governance </w:t>
            </w:r>
          </w:p>
        </w:tc>
        <w:tc>
          <w:tcPr>
            <w:tcW w:w="216"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55" w:type="dxa"/>
            <w:tcBorders>
              <w:bottom w:val="single" w:sz="8" w:space="0" w:color="000000"/>
            </w:tcBorders>
            <w:tcMar>
              <w:bottom w:w="57" w:type="dxa"/>
            </w:tcMar>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523875" cy="523875"/>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26" w:type="dxa"/>
            <w:tcBorders>
              <w:bottom w:val="single" w:sz="8" w:space="0" w:color="000000"/>
            </w:tcBorders>
            <w:tcMar>
              <w:bottom w:w="57"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Darren M. Rebelez</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President and CEO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6343" w:type="dxa"/>
            <w:vMerge w:val="restart"/>
            <w:tcBorders/>
            <w:vAlign w:val="center"/>
          </w:tcPr>
          <w:p>
            <w:pPr>
              <w:pStyle w:val="TableContents"/>
              <w:bidi w:val="0"/>
              <w:spacing w:before="0" w:after="283"/>
              <w:ind w:left="0" w:right="0" w:hanging="0"/>
              <w:jc w:val="left"/>
              <w:rPr>
                <w:rFonts w:ascii="Times New Roman;Times;serif" w:hAnsi="Times New Roman;Times;serif"/>
                <w:b/>
                <w:color w:val="000000"/>
                <w:sz w:val="17"/>
                <w:u w:val="single"/>
              </w:rPr>
            </w:pPr>
            <w:r>
              <w:rPr>
                <w:rFonts w:ascii="Times New Roman;Times;serif" w:hAnsi="Times New Roman;Times;serif"/>
                <w:b/>
                <w:color w:val="000000"/>
                <w:sz w:val="17"/>
                <w:u w:val="single"/>
              </w:rPr>
              <w:t>What We Do – Best Practices</w:t>
            </w:r>
          </w:p>
          <w:p>
            <w:pPr>
              <w:pStyle w:val="TableContents"/>
              <w:bidi w:val="0"/>
              <w:spacing w:before="80" w:after="283"/>
              <w:ind w:left="0" w:right="0" w:hanging="0"/>
              <w:jc w:val="left"/>
              <w:rPr>
                <w:color w:val="000000"/>
              </w:rPr>
            </w:pPr>
            <w:r>
              <w:rPr>
                <w:color w:val="000000"/>
              </w:rPr>
              <w:t>✔ </w:t>
            </w:r>
            <w:r>
              <w:rPr>
                <w:rFonts w:ascii="Times New Roman;Times;serif" w:hAnsi="Times New Roman;Times;serif"/>
                <w:b w:val="false"/>
                <w:color w:val="000000"/>
                <w:sz w:val="17"/>
              </w:rPr>
              <w:t>Strong pay for performance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Incentive pay with multiple metrics tied to long-term shareholder value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Meaningful stock ownership requirements for officers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Double-trigger change of control provisions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Independent compensation consultant</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Annual “say on pay” vote</w:t>
            </w:r>
          </w:p>
          <w:p>
            <w:pPr>
              <w:pStyle w:val="TableContents"/>
              <w:bidi w:val="0"/>
              <w:spacing w:before="0" w:after="283"/>
              <w:ind w:left="298"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7"/>
                <w:u w:val="single"/>
              </w:rPr>
            </w:pPr>
            <w:r>
              <w:rPr>
                <w:rFonts w:ascii="Times New Roman;Times;serif" w:hAnsi="Times New Roman;Times;serif"/>
                <w:b/>
                <w:color w:val="000000"/>
                <w:sz w:val="17"/>
                <w:u w:val="single"/>
              </w:rPr>
              <w:t>What We Don’t Do</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No guaranteed incentive payments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No uncapped incentive compensation opportunities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No hedging or pledging of Company stock</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No tax gross-ups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No excessive benefits or perquisites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No single-trigger change of control provisions</w:t>
            </w:r>
          </w:p>
          <w:p>
            <w:pPr>
              <w:pStyle w:val="TableContents"/>
              <w:bidi w:val="0"/>
              <w:spacing w:before="0" w:after="283"/>
              <w:ind w:left="34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u w:val="single"/>
              </w:rPr>
              <w:t>“</w:t>
            </w:r>
            <w:r>
              <w:rPr>
                <w:rFonts w:ascii="Times New Roman;Times;serif" w:hAnsi="Times New Roman;Times;serif"/>
                <w:b/>
                <w:color w:val="000000"/>
                <w:sz w:val="17"/>
                <w:u w:val="single"/>
              </w:rPr>
              <w:t>Say on Pay” Results</w:t>
            </w:r>
            <w:r>
              <w:rPr>
                <w:rFonts w:ascii="Times New Roman;Times;serif" w:hAnsi="Times New Roman;Times;serif"/>
                <w:b w:val="false"/>
                <w:color w:val="000000"/>
                <w:sz w:val="17"/>
              </w:rPr>
              <w:t xml:space="preserve">: 2023: </w:t>
            </w:r>
            <w:r>
              <w:rPr>
                <w:rFonts w:ascii="Times New Roman;Times;serif" w:hAnsi="Times New Roman;Times;serif"/>
                <w:b/>
                <w:color w:val="000000"/>
                <w:sz w:val="17"/>
              </w:rPr>
              <w:t>97.6%</w:t>
            </w:r>
            <w:r>
              <w:rPr>
                <w:rFonts w:ascii="Times New Roman;Times;serif" w:hAnsi="Times New Roman;Times;serif"/>
                <w:b w:val="false"/>
                <w:color w:val="000000"/>
                <w:sz w:val="17"/>
              </w:rPr>
              <w:t xml:space="preserve">, 2024: </w:t>
            </w:r>
            <w:r>
              <w:rPr>
                <w:rFonts w:ascii="Times New Roman;Times;serif" w:hAnsi="Times New Roman;Times;serif"/>
                <w:b/>
                <w:color w:val="000000"/>
                <w:sz w:val="17"/>
              </w:rPr>
              <w:t>97.9%</w:t>
            </w:r>
            <w:r>
              <w:rPr>
                <w:rFonts w:ascii="Times New Roman;Times;serif" w:hAnsi="Times New Roman;Times;serif"/>
                <w:b w:val="false"/>
                <w:color w:val="000000"/>
                <w:sz w:val="17"/>
              </w:rPr>
              <w:t xml:space="preserve">, 2025: </w:t>
            </w:r>
            <w:r>
              <w:rPr>
                <w:rFonts w:ascii="Times New Roman;Times;serif" w:hAnsi="Times New Roman;Times;serif"/>
                <w:b/>
                <w:color w:val="000000"/>
                <w:sz w:val="17"/>
              </w:rPr>
              <w:t>98.0%</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7"/>
              </w:rPr>
            </w:pPr>
            <w:r>
              <w:rPr>
                <w:rFonts w:ascii="Times New Roman;Times;serif" w:hAnsi="Times New Roman;Times;serif"/>
                <w:b w:val="false"/>
                <w:color w:val="000000"/>
                <w:sz w:val="17"/>
              </w:rPr>
              <w:t xml:space="preserve">Pay program in FY26 was substantially the same as FY25, which as noted, our shareholders overwhelmingly supported </w:t>
            </w:r>
          </w:p>
        </w:tc>
        <w:tc>
          <w:tcPr>
            <w:tcW w:w="216" w:type="dxa"/>
            <w:vMerge w:val="restart"/>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55"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523875" cy="523875"/>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2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Stephen P. Bramlage, Jr.</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 xml:space="preserve">Chief Financial Officer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6343"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55"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523875" cy="523875"/>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2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Ena Williams</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 xml:space="preserve">Chief Operating Officer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6343"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55"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523875" cy="523875"/>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2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Thomas P. Brennan, Jr.</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 xml:space="preserve">Chief Merchandising Officer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6343"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523875" cy="523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6" w:type="dxa"/>
            <w:tcBorders/>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Chad M. Frazell</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Chief Human Resources Officer</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6343"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5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26"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43"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494"/>
        <w:gridCol w:w="170"/>
        <w:gridCol w:w="170"/>
        <w:gridCol w:w="4762"/>
        <w:gridCol w:w="170"/>
        <w:gridCol w:w="170"/>
        <w:gridCol w:w="2867"/>
        <w:gridCol w:w="217"/>
      </w:tblGrid>
      <w:tr>
        <w:trPr/>
        <w:tc>
          <w:tcPr>
            <w:tcW w:w="185" w:type="dxa"/>
            <w:tcBorders/>
            <w:shd w:fill="D9D9D9" w:val="clear"/>
            <w:vAlign w:val="center"/>
          </w:tcPr>
          <w:p>
            <w:pPr>
              <w:pStyle w:val="TableContents"/>
              <w:bidi w:val="0"/>
              <w:spacing w:before="0" w:after="0"/>
              <w:jc w:val="left"/>
              <w:rPr/>
            </w:pPr>
            <w:r>
              <w:rPr/>
              <w:t> </w:t>
            </w:r>
          </w:p>
        </w:tc>
        <w:tc>
          <w:tcPr>
            <w:tcW w:w="9803" w:type="dxa"/>
            <w:gridSpan w:val="7"/>
            <w:tcBorders/>
            <w:shd w:fill="D9D9D9" w:val="clear"/>
            <w:vAlign w:val="center"/>
          </w:tcPr>
          <w:p>
            <w:pPr>
              <w:pStyle w:val="TableContents"/>
              <w:bidi w:val="0"/>
              <w:spacing w:before="0" w:after="0"/>
              <w:jc w:val="left"/>
              <w:rPr/>
            </w:pPr>
            <w:r>
              <w:rPr/>
              <w:t>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3" w:type="dxa"/>
            <w:gridSpan w:val="7"/>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FY26 Direct Compensation Elements </w:t>
            </w:r>
          </w:p>
        </w:tc>
        <w:tc>
          <w:tcPr>
            <w:tcW w:w="217"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4"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Element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762"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Purpose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867"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FY26 Metrics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4" w:type="dxa"/>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Base Salary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762"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Attracts and retains executives by providing competitive fixed annual cash compensation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867"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Evaluated annually based on market and peer group data and individual and Company performance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4" w:type="dxa"/>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Annual Incentive Program (“AIP”)</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762"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Performance based pay that delivers annual cash incentives when key financial/operating targets are met or exceeded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867" w:type="dxa"/>
            <w:tcBorders>
              <w:bottom w:val="single" w:sz="8" w:space="0" w:color="000000"/>
            </w:tcBorders>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7"/>
              </w:rPr>
            </w:pPr>
            <w:r>
              <w:rPr>
                <w:rFonts w:ascii="Times New Roman;Times;serif" w:hAnsi="Times New Roman;Times;serif"/>
                <w:color w:val="000000"/>
                <w:sz w:val="17"/>
              </w:rPr>
              <w:t>60% - EBITDA</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7"/>
              </w:rPr>
            </w:pPr>
            <w:r>
              <w:rPr>
                <w:rFonts w:ascii="Times New Roman;Times;serif" w:hAnsi="Times New Roman;Times;serif"/>
                <w:color w:val="000000"/>
                <w:sz w:val="17"/>
              </w:rPr>
              <w:t xml:space="preserve">40% - same store sales growth (inside sales)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4" w:type="dxa"/>
            <w:tcBorders/>
            <w:vAlign w:val="center"/>
          </w:tcPr>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Long-Term Incentive Program (“LTIP”)</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Performance and time-based equity compensation to attract, retain and reward executives when key financial/operating targets are met or exceeded over a three-year performance period</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67"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7"/>
              </w:rPr>
            </w:pPr>
            <w:r>
              <w:rPr>
                <w:rFonts w:ascii="Times New Roman;Times;serif" w:hAnsi="Times New Roman;Times;serif"/>
                <w:color w:val="000000"/>
                <w:sz w:val="17"/>
              </w:rPr>
              <w:t>75% PSUs (1/2 ROIC, 1/2 EBITDA) (+/- 25% rTSR modifier based on top/bottom quartile TSR)</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7"/>
              </w:rPr>
            </w:pPr>
            <w:r>
              <w:rPr>
                <w:rFonts w:ascii="Times New Roman;Times;serif" w:hAnsi="Times New Roman;Times;serif"/>
                <w:color w:val="000000"/>
                <w:sz w:val="17"/>
              </w:rPr>
              <w:t>25% time-based RSUs</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4"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762"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867" w:type="dxa"/>
            <w:tcBorders>
              <w:bottom w:val="single" w:sz="8" w:space="0" w:color="000000"/>
            </w:tcBorders>
            <w:tcMar>
              <w:bottom w:w="28" w:type="dxa"/>
            </w:tcMar>
            <w:vAlign w:val="center"/>
          </w:tcPr>
          <w:p>
            <w:pPr>
              <w:pStyle w:val="TableContents"/>
              <w:bidi w:val="0"/>
              <w:spacing w:before="0" w:after="0"/>
              <w:jc w:val="left"/>
              <w:rPr/>
            </w:pPr>
            <w:r>
              <w:rPr/>
              <w:t>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510" w:type="dxa"/>
        <w:jc w:val="left"/>
        <w:tblInd w:w="0" w:type="dxa"/>
        <w:tblLayout w:type="fixed"/>
        <w:tblCellMar>
          <w:top w:w="0" w:type="dxa"/>
          <w:left w:w="0" w:type="dxa"/>
          <w:bottom w:w="0" w:type="dxa"/>
          <w:right w:w="0" w:type="dxa"/>
        </w:tblCellMar>
      </w:tblPr>
      <w:tblGrid>
        <w:gridCol w:w="1985"/>
        <w:gridCol w:w="170"/>
        <w:gridCol w:w="170"/>
        <w:gridCol w:w="17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 w:name="ny20072699x1_def14a_103-summary_pg4"/>
        <w:bookmarkEnd w:id="1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70"/>
        <w:gridCol w:w="170"/>
        <w:gridCol w:w="170"/>
        <w:gridCol w:w="351"/>
        <w:gridCol w:w="170"/>
        <w:gridCol w:w="170"/>
        <w:gridCol w:w="370"/>
        <w:gridCol w:w="170"/>
        <w:gridCol w:w="170"/>
        <w:gridCol w:w="470"/>
        <w:gridCol w:w="170"/>
        <w:gridCol w:w="170"/>
        <w:gridCol w:w="780"/>
        <w:gridCol w:w="170"/>
        <w:gridCol w:w="170"/>
        <w:gridCol w:w="5962"/>
        <w:gridCol w:w="217"/>
      </w:tblGrid>
      <w:tr>
        <w:trPr/>
        <w:tc>
          <w:tcPr>
            <w:tcW w:w="185" w:type="dxa"/>
            <w:tcBorders/>
            <w:shd w:fill="D9D9D9" w:val="clear"/>
            <w:vAlign w:val="center"/>
          </w:tcPr>
          <w:p>
            <w:pPr>
              <w:pStyle w:val="TableContents"/>
              <w:bidi w:val="0"/>
              <w:spacing w:before="0" w:after="0"/>
              <w:jc w:val="left"/>
              <w:rPr/>
            </w:pPr>
            <w:r>
              <w:rPr/>
              <w:t> </w:t>
            </w:r>
          </w:p>
        </w:tc>
        <w:tc>
          <w:tcPr>
            <w:tcW w:w="3501" w:type="dxa"/>
            <w:gridSpan w:val="13"/>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962" w:type="dxa"/>
            <w:tcBorders/>
            <w:shd w:fill="D9D9D9" w:val="clear"/>
            <w:vAlign w:val="center"/>
          </w:tcPr>
          <w:p>
            <w:pPr>
              <w:pStyle w:val="TableContents"/>
              <w:bidi w:val="0"/>
              <w:spacing w:before="0" w:after="0"/>
              <w:jc w:val="left"/>
              <w:rPr/>
            </w:pPr>
            <w:r>
              <w:rPr/>
              <w:t>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3501" w:type="dxa"/>
            <w:gridSpan w:val="13"/>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FY26 Overall Pay Mix</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962"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Incentive Highlights </w:t>
            </w:r>
          </w:p>
        </w:tc>
        <w:tc>
          <w:tcPr>
            <w:tcW w:w="217"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1" w:type="dxa"/>
            <w:gridSpan w:val="13"/>
            <w:tcBorders/>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Target Direct Comp. Mix (CEO):</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5962"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u w:val="single"/>
              </w:rPr>
              <w:t>FY26 AIP Payout</w:t>
            </w:r>
            <w:r>
              <w:rPr>
                <w:rFonts w:ascii="Times New Roman;Times;serif" w:hAnsi="Times New Roman;Times;serif"/>
                <w:color w:val="000000"/>
                <w:sz w:val="18"/>
              </w:rPr>
              <w:t xml:space="preserve">: Due to the exceptional financial performance of the Company during the 2026 fiscal year, including record EBITDA of $1.48 billion, the 2026 AIP achieved a payout of 161% of target. </w:t>
            </w:r>
          </w:p>
        </w:tc>
        <w:tc>
          <w:tcPr>
            <w:tcW w:w="217"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3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51"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0"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70"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0"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5962" w:type="dxa"/>
            <w:vMerge w:val="continue"/>
            <w:tcBorders/>
            <w:vAlign w:val="center"/>
          </w:tcPr>
          <w:p>
            <w:pPr>
              <w:pStyle w:val="Normal"/>
              <w:bidi w:val="0"/>
              <w:jc w:val="left"/>
              <w:rPr/>
            </w:pPr>
            <w:r>
              <w:rPr/>
            </w:r>
          </w:p>
        </w:tc>
        <w:tc>
          <w:tcPr>
            <w:tcW w:w="217"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5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Sal.</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AIP</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LTIP</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80" w:type="dxa"/>
            <w:vMerge w:val="restart"/>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 89% at-risk </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5962" w:type="dxa"/>
            <w:vMerge w:val="continue"/>
            <w:tcBorders/>
            <w:vAlign w:val="center"/>
          </w:tcPr>
          <w:p>
            <w:pPr>
              <w:pStyle w:val="Normal"/>
              <w:bidi w:val="0"/>
              <w:jc w:val="left"/>
              <w:rPr/>
            </w:pPr>
            <w:r>
              <w:rPr/>
            </w:r>
          </w:p>
        </w:tc>
        <w:tc>
          <w:tcPr>
            <w:tcW w:w="217"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351" w:type="dxa"/>
            <w:tcBorders/>
            <w:shd w:fill="F2F2F2"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11%</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70" w:type="dxa"/>
            <w:tcBorders/>
            <w:shd w:fill="D9D9D9"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16%</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shd w:fill="BFBFBF" w:val="clear"/>
            <w:vAlign w:val="center"/>
          </w:tcPr>
          <w:p>
            <w:pPr>
              <w:pStyle w:val="TableContents"/>
              <w:bidi w:val="0"/>
              <w:spacing w:before="0" w:after="0"/>
              <w:jc w:val="left"/>
              <w:rPr/>
            </w:pPr>
            <w:r>
              <w:rPr/>
              <w:t> </w:t>
            </w:r>
          </w:p>
        </w:tc>
        <w:tc>
          <w:tcPr>
            <w:tcW w:w="470" w:type="dxa"/>
            <w:tcBorders/>
            <w:shd w:fill="BFBFB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73%</w:t>
            </w:r>
          </w:p>
        </w:tc>
        <w:tc>
          <w:tcPr>
            <w:tcW w:w="170" w:type="dxa"/>
            <w:tcBorders>
              <w:right w:val="single" w:sz="8" w:space="0" w:color="000000"/>
            </w:tcBorders>
            <w:shd w:fill="BFBFBF" w:val="clear"/>
            <w:tcMar>
              <w:right w:w="28" w:type="dxa"/>
            </w:tcM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80"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5962" w:type="dxa"/>
            <w:vMerge w:val="continue"/>
            <w:tcBorders/>
            <w:vAlign w:val="center"/>
          </w:tcPr>
          <w:p>
            <w:pPr>
              <w:pStyle w:val="Normal"/>
              <w:bidi w:val="0"/>
              <w:jc w:val="left"/>
              <w:rPr/>
            </w:pPr>
            <w:r>
              <w:rPr/>
            </w:r>
          </w:p>
        </w:tc>
        <w:tc>
          <w:tcPr>
            <w:tcW w:w="217"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51"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3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BFBFBF" w:val="clear"/>
            <w:tcMar>
              <w:bottom w:w="28" w:type="dxa"/>
            </w:tcMar>
            <w:vAlign w:val="center"/>
          </w:tcPr>
          <w:p>
            <w:pPr>
              <w:pStyle w:val="TableContents"/>
              <w:bidi w:val="0"/>
              <w:spacing w:before="0" w:after="0"/>
              <w:jc w:val="left"/>
              <w:rPr/>
            </w:pPr>
            <w:r>
              <w:rPr/>
              <w:t> </w:t>
            </w:r>
          </w:p>
        </w:tc>
        <w:tc>
          <w:tcPr>
            <w:tcW w:w="470" w:type="dxa"/>
            <w:tcBorders>
              <w:bottom w:val="single" w:sz="8" w:space="0" w:color="000000"/>
            </w:tcBorders>
            <w:shd w:fill="BFBFB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BFBFBF" w:val="clear"/>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62"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70"/>
        <w:gridCol w:w="170"/>
        <w:gridCol w:w="170"/>
        <w:gridCol w:w="341"/>
        <w:gridCol w:w="170"/>
        <w:gridCol w:w="170"/>
        <w:gridCol w:w="367"/>
        <w:gridCol w:w="170"/>
        <w:gridCol w:w="170"/>
        <w:gridCol w:w="470"/>
        <w:gridCol w:w="170"/>
        <w:gridCol w:w="170"/>
        <w:gridCol w:w="643"/>
        <w:gridCol w:w="170"/>
        <w:gridCol w:w="170"/>
        <w:gridCol w:w="6113"/>
        <w:gridCol w:w="216"/>
      </w:tblGrid>
      <w:tr>
        <w:trPr/>
        <w:tc>
          <w:tcPr>
            <w:tcW w:w="185" w:type="dxa"/>
            <w:tcBorders/>
            <w:vAlign w:val="center"/>
          </w:tcPr>
          <w:p>
            <w:pPr>
              <w:pStyle w:val="TableContents"/>
              <w:bidi w:val="0"/>
              <w:spacing w:before="0" w:after="0"/>
              <w:jc w:val="left"/>
              <w:rPr/>
            </w:pPr>
            <w:r>
              <w:rPr/>
              <w:t> </w:t>
            </w:r>
          </w:p>
        </w:tc>
        <w:tc>
          <w:tcPr>
            <w:tcW w:w="3351" w:type="dxa"/>
            <w:gridSpan w:val="13"/>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1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51" w:type="dxa"/>
            <w:gridSpan w:val="13"/>
            <w:tcBorders/>
            <w:vAlign w:val="center"/>
          </w:tcPr>
          <w:p>
            <w:pPr>
              <w:pStyle w:val="TableContents"/>
              <w:bidi w:val="0"/>
              <w:spacing w:before="32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Target Direct Comp. Mix (other NEO avg.):</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6113" w:type="dxa"/>
            <w:vMerge w:val="restart"/>
            <w:tcBorders/>
            <w:vAlign w:val="center"/>
          </w:tcPr>
          <w:p>
            <w:pPr>
              <w:pStyle w:val="TableContents"/>
              <w:bidi w:val="0"/>
              <w:spacing w:before="4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u w:val="single"/>
              </w:rPr>
              <w:t>FY24-FY26 LTIP Payout</w:t>
            </w:r>
            <w:r>
              <w:rPr>
                <w:rFonts w:ascii="Times New Roman;Times;serif" w:hAnsi="Times New Roman;Times;serif"/>
                <w:color w:val="000000"/>
                <w:sz w:val="18"/>
              </w:rPr>
              <w:t xml:space="preserve">: Due to the continued long-term financial success of the Company, the LTIP PSU awards granted during the 2024 fiscal year vested at 200% of target for the ROIC PSUs and 200% of target for the EBITDA PSUs. In addition, due to the Company’s outstanding total shareholder return (TSR) at the 93rd percentile relative to the S&amp;P 500 over such period (with actual TSR of 249%), the rTSR PSU modifier was achieved, resulting in a 25% increase in PSUs actually awarded, for a total LTIP payout at 250% of target.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3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41"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67"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70"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6113"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4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Sal.</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6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AIP</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LTIP</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643" w:type="dxa"/>
            <w:vMerge w:val="restart"/>
            <w:tcBorders/>
            <w:vAlign w:val="center"/>
          </w:tcPr>
          <w:p>
            <w:pPr>
              <w:pStyle w:val="TableContents"/>
              <w:bidi w:val="0"/>
              <w:spacing w:before="2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 80% at-risk </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6113"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41" w:type="dxa"/>
            <w:tcBorders>
              <w:bottom w:val="single" w:sz="8" w:space="0" w:color="000000"/>
            </w:tcBorders>
            <w:shd w:fill="F2F2F2" w:val="clear"/>
            <w:tcMar>
              <w:bottom w:w="28"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20%</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367" w:type="dxa"/>
            <w:tcBorders>
              <w:bottom w:val="single" w:sz="8" w:space="0" w:color="000000"/>
            </w:tcBorders>
            <w:shd w:fill="D9D9D9" w:val="clear"/>
            <w:tcMar>
              <w:bottom w:w="28"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18%</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BFBFBF" w:val="clear"/>
            <w:tcMar>
              <w:bottom w:w="28" w:type="dxa"/>
            </w:tcMar>
            <w:vAlign w:val="center"/>
          </w:tcPr>
          <w:p>
            <w:pPr>
              <w:pStyle w:val="TableContents"/>
              <w:bidi w:val="0"/>
              <w:spacing w:before="0" w:after="0"/>
              <w:jc w:val="left"/>
              <w:rPr/>
            </w:pPr>
            <w:r>
              <w:rPr/>
              <w:t> </w:t>
            </w:r>
          </w:p>
        </w:tc>
        <w:tc>
          <w:tcPr>
            <w:tcW w:w="470" w:type="dxa"/>
            <w:tcBorders>
              <w:bottom w:val="single" w:sz="8" w:space="0" w:color="000000"/>
            </w:tcBorders>
            <w:shd w:fill="BFBFBF" w:val="clear"/>
            <w:tcMar>
              <w:bottom w:w="28"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62%</w:t>
            </w:r>
          </w:p>
        </w:tc>
        <w:tc>
          <w:tcPr>
            <w:tcW w:w="170" w:type="dxa"/>
            <w:tcBorders>
              <w:bottom w:val="single" w:sz="8" w:space="0" w:color="000000"/>
              <w:right w:val="single" w:sz="8" w:space="0" w:color="000000"/>
            </w:tcBorders>
            <w:shd w:fill="BFBFBF" w:val="clear"/>
            <w:tcMar>
              <w:bottom w:w="28" w:type="dxa"/>
              <w:right w:w="28" w:type="dxa"/>
            </w:tcM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643"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6113"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240" w:after="283"/>
              <w:ind w:left="3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1" w:type="dxa"/>
            <w:tcBorders/>
            <w:vAlign w:val="center"/>
          </w:tcPr>
          <w:p>
            <w:pPr>
              <w:pStyle w:val="TableContents"/>
              <w:bidi w:val="0"/>
              <w:spacing w:before="24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7" w:type="dxa"/>
            <w:tcBorders/>
            <w:vAlign w:val="center"/>
          </w:tcPr>
          <w:p>
            <w:pPr>
              <w:pStyle w:val="TableContents"/>
              <w:bidi w:val="0"/>
              <w:spacing w:before="24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24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3" w:type="dxa"/>
            <w:tcBorders/>
            <w:vAlign w:val="center"/>
          </w:tcPr>
          <w:p>
            <w:pPr>
              <w:pStyle w:val="TableContents"/>
              <w:bidi w:val="0"/>
              <w:spacing w:before="240" w:after="283"/>
              <w:ind w:left="0" w:right="0" w:hanging="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6113"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41"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67"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43"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13"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Proposal 4 Summary: Shareholder Proposal</w:t>
      </w:r>
      <w:r>
        <w:rPr>
          <w:rFonts w:ascii="Times New Roman;Times;serif" w:hAnsi="Times New Roman;Times;serif"/>
          <w:b/>
          <w:color w:val="000000"/>
          <w:sz w:val="19"/>
        </w:rPr>
        <w:t xml:space="preserve"> </w:t>
      </w:r>
    </w:p>
    <w:p>
      <w:pPr>
        <w:pStyle w:val="TextBody"/>
        <w:bidi w:val="0"/>
        <w:spacing w:before="20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**The Board recommends a vote </w:t>
      </w:r>
      <w:r>
        <w:rPr>
          <w:rFonts w:ascii="Times New Roman;Times;serif" w:hAnsi="Times New Roman;Times;serif"/>
          <w:b/>
          <w:i/>
          <w:color w:val="000000"/>
          <w:sz w:val="19"/>
          <w:u w:val="single"/>
        </w:rPr>
        <w:t>AGAINST</w:t>
      </w:r>
      <w:r>
        <w:rPr>
          <w:rFonts w:ascii="Times New Roman;Times;serif" w:hAnsi="Times New Roman;Times;serif"/>
          <w:b/>
          <w:color w:val="000000"/>
          <w:sz w:val="19"/>
        </w:rPr>
        <w:t xml:space="preserve"> the shareholder proposal** </w:t>
      </w:r>
    </w:p>
    <w:tbl>
      <w:tblPr>
        <w:tblW w:w="5805" w:type="dxa"/>
        <w:jc w:val="left"/>
        <w:tblInd w:w="0" w:type="dxa"/>
        <w:tblLayout w:type="fixed"/>
        <w:tblCellMar>
          <w:top w:w="0" w:type="dxa"/>
          <w:left w:w="0" w:type="dxa"/>
          <w:bottom w:w="0" w:type="dxa"/>
          <w:right w:w="0" w:type="dxa"/>
        </w:tblCellMar>
      </w:tblPr>
      <w:tblGrid>
        <w:gridCol w:w="185"/>
        <w:gridCol w:w="5405"/>
        <w:gridCol w:w="215"/>
      </w:tblGrid>
      <w:tr>
        <w:trPr/>
        <w:tc>
          <w:tcPr>
            <w:tcW w:w="185" w:type="dxa"/>
            <w:tcBorders/>
            <w:shd w:fill="D9D9D9" w:val="clear"/>
            <w:vAlign w:val="center"/>
          </w:tcPr>
          <w:p>
            <w:pPr>
              <w:pStyle w:val="TableContents"/>
              <w:bidi w:val="0"/>
              <w:spacing w:before="0" w:after="0"/>
              <w:jc w:val="left"/>
              <w:rPr/>
            </w:pPr>
            <w:r>
              <w:rPr/>
              <w:t> </w:t>
            </w:r>
          </w:p>
        </w:tc>
        <w:tc>
          <w:tcPr>
            <w:tcW w:w="5405"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405"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Shareholder Proposal Regarding Shareholder Special Meeting Rights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0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The Board recommends a vote </w:t>
            </w:r>
            <w:r>
              <w:rPr>
                <w:rFonts w:ascii="Times New Roman;Times;serif" w:hAnsi="Times New Roman;Times;serif"/>
                <w:b/>
                <w:i/>
                <w:color w:val="000000"/>
                <w:sz w:val="18"/>
                <w:u w:val="single"/>
              </w:rPr>
              <w:t>against</w:t>
            </w:r>
            <w:r>
              <w:rPr>
                <w:rFonts w:ascii="Times New Roman;Times;serif" w:hAnsi="Times New Roman;Times;serif"/>
                <w:color w:val="000000"/>
                <w:sz w:val="18"/>
              </w:rPr>
              <w:t xml:space="preserve"> the shareholder proposal.</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540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510" w:type="dxa"/>
        <w:jc w:val="left"/>
        <w:tblInd w:w="0" w:type="dxa"/>
        <w:tblLayout w:type="fixed"/>
        <w:tblCellMar>
          <w:top w:w="0" w:type="dxa"/>
          <w:left w:w="0" w:type="dxa"/>
          <w:bottom w:w="0" w:type="dxa"/>
          <w:right w:w="0" w:type="dxa"/>
        </w:tblCellMar>
      </w:tblPr>
      <w:tblGrid>
        <w:gridCol w:w="1985"/>
        <w:gridCol w:w="170"/>
        <w:gridCol w:w="170"/>
        <w:gridCol w:w="17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 w:name="ny20072699x1_def14a_104-qa_pg1"/>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bookmarkStart w:id="19" w:name="tAMF"/>
      <w:bookmarkEnd w:id="19"/>
      <w:r>
        <w:rPr>
          <w:rFonts w:ascii="Times New Roman;Times;serif" w:hAnsi="Times New Roman;Times;serif"/>
          <w:b/>
          <w:color w:val="000000"/>
          <w:sz w:val="24"/>
          <w:u w:val="single"/>
        </w:rPr>
        <w:t>ANNUAL MEETING FAQs</w:t>
      </w:r>
      <w:r>
        <w:rPr>
          <w:rFonts w:ascii="Times New Roman;Times;serif" w:hAnsi="Times New Roman;Times;serif"/>
          <w:b/>
          <w:color w:val="000000"/>
          <w:sz w:val="24"/>
        </w:rPr>
        <w:t xml:space="preserve"> </w:t>
      </w:r>
    </w:p>
    <w:p>
      <w:pPr>
        <w:pStyle w:val="TextBody"/>
        <w:bidi w:val="0"/>
        <w:spacing w:before="29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Why am I receiving these materials?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The Company’s Board of Directors, through the Notice of Internet Availability of Proxy Materials, the Notice of Annual Meeting of Shareholders, this Proxy Statement and the proxy card, is soliciting your vote on matters being submitted for shareholder approval at the Company’s 2026 annual shareholders’ meeting (the “Annual Meeting”) and any adjournments or postponements thereof.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When is the Annual Meeting? </w:t>
      </w:r>
    </w:p>
    <w:p>
      <w:pPr>
        <w:pStyle w:val="TextBody"/>
        <w:bidi w:val="0"/>
        <w:spacing w:before="20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The 2026 Annual Meeting will be held at 8:30 a.m. Central Time on September 2, 2026.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Is the Annual Meeting being held in a virtual only format?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Yes. Due to strong virtual shareholder participation, and to provide the opportunity for shareholders in a broader geography to attend, the Annual Meeting will be virtual only, via live audio webcast at www.virtualshareholdermeeting.com/CASY2026. There is no in-person option to attend the Annual Meeting. We encourage you to access the webcast prior to the start time of 8:30 am Central Time. If you encounter any difficulties accessing the virtual meeting, please call: (844) 976-0738 (toll-free), or (303) 562-9301 (international).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Do I need anything to attend the Annual Meeting?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Yes. To participate in the Annual Meeting, you will need Internet access and the 16-digit control number included on your Notice, proxy card or voting instruction form. When accessing the meeting website, insert the control number where indicated.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Can I vote my shares at the virtual Annual Meeting format?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Yes. You will be able to vote your shares electronically during the Annual Meeting by following the voting prompts at www.virtualshareholdermeeting.com/CASY2026.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Can I ask questions through the virtual Annual Meeting format, and are there any rules for questions?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We are committed to ensuring that shareholders be afforded the same rights and opportunities to participate as they would at an in-person meeting, which includes the ability to ask questions of our Board, senior leadership team and a representative from our independent registered public accounting firm, KPMG LLP, during the allotted question and answer session that follows adjournment of the formal business of the Annual Meeting. The Board Chair (or designee) may exercise discretion as to the order in which questions are asked and the amount of time devoted to any one question, and we reserve the right to edit or reject questions we deem profane or otherwise inappropriate. In addition, we will not entertain questions that are (i) not pertinent to meeting matters or the business of the Company, (ii) related to material non-public information of the Company, (iii) related to personal grievances, (iv) derogatory references to individuals or that are otherwise in bad taste, (v) repetitious of statements made by another shareholder, or (vi) related to pending or threatened litigation (see the Annual Meeting rules and procedures on the meeting website).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To submit your question the day of the Annual Meeting, beginning at 8:15 a.m. Central Time, log into www.virtualshareholdermeeting.com/CASY2026, click on the Q&amp;A button, type your question into the “Submit a Question” field, and click “Submit”. If time does not allow for all questions, or a shareholder has a question after the annual meeting, please direct those questions to Sam James, Senior Vice President, Finance &amp; Investor Relations, Casey’s General Stores, Inc., One SE Convenience Blvd., Ankeny, Iowa 50021.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Do I need to be a shareholder to attend the Annual Meeting?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No. The Annual Meeting will be accessible to anyone who is interested by visiting www.virtualshareholdermeeting.com/CASY2026; however, non-shareholders will not be permitted to vote or submit questions through the meeting website.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What is the record date for the Annual Meeting? </w:t>
      </w:r>
    </w:p>
    <w:p>
      <w:pPr>
        <w:pStyle w:val="TextBody"/>
        <w:bidi w:val="0"/>
        <w:spacing w:before="20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The record date for the Annual Meeting is June 29, 2026 (the “Record Date”).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What is the mailing date for the Annual Meeting?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This Proxy Statement and the proxy card are first being provided and/or made available on or about July 22, 2026, to each holder of record of common stock, no par value per share (“Common Stock”), of the Company at the close of business on the Record Date. </w:t>
      </w:r>
    </w:p>
    <w:tbl>
      <w:tblPr>
        <w:tblW w:w="3510" w:type="dxa"/>
        <w:jc w:val="left"/>
        <w:tblInd w:w="0" w:type="dxa"/>
        <w:tblLayout w:type="fixed"/>
        <w:tblCellMar>
          <w:top w:w="0" w:type="dxa"/>
          <w:left w:w="0" w:type="dxa"/>
          <w:bottom w:w="0" w:type="dxa"/>
          <w:right w:w="0" w:type="dxa"/>
        </w:tblCellMar>
      </w:tblPr>
      <w:tblGrid>
        <w:gridCol w:w="1985"/>
        <w:gridCol w:w="170"/>
        <w:gridCol w:w="170"/>
        <w:gridCol w:w="17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 w:name="ny20072699x1_def14a_104-qa_pg2"/>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How many shares of Common Stock were issued and outstanding on the Record Date?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There were 37,004,914 shares of Common Stock issued and outstanding on the Record Date. Each share of Common Stock will be entitled to one vote on all matters. </w:t>
      </w:r>
    </w:p>
    <w:p>
      <w:pPr>
        <w:pStyle w:val="TextBody"/>
        <w:bidi w:val="0"/>
        <w:spacing w:before="28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What are the agenda items for the Annual Meeting?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At the Annual Meeting, shareholders will vote on the following matters (i) to elect eleven directors to serve until the next annual shareholders’ meeting and until their successors are elected and qualified; (ii) to ratify the appointment of KPMG LLP as the Company’s independent registered public accounting firm for the fiscal year ending April 30, 2027; (iii) to hold an advisory vote on our named executive officer compensation; (iv) to vote on one shareholder proposal, if properly presented at the Annual Meeting, and (v) to transact such other business as may properly come before the Annual Meeting or at any adjournment or postponement thereof.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Are there any other items of business to be conducted at the Annual Meeting?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The Board is not aware as of this date of any other matters proposed to be presented at the Annual Meeting other than those set forth herein. However, the persons named on the proxy card will have discretionary authority to vote on any other matter that is properly presented at the meeting, according to their best judgment.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Who is entitled to vote at the Annual Meeting?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The only securities eligible to vote at the Annual Meeting are shares of Common Stock. Only holders at the close of business on the Record Date of June 29, 2026, are entitled to vote. Each share represents one vote, and all shares vote together as a single class. A list of shareholders entitled to notice of the Annual Meeting is on file at the Company’s office located at One SE Convenience Blvd., Ankeny, Iowa 50021, and will be available electronically to shareholders on the virtual meeting website during the Annual Meeting.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How many shares are required for a quorum?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The presence in person or by proxy of shareholders entitled to cast a majority of all the votes entitled to be cast at the Annual Meeting constitutes a quorum. Shareholders are entitled to one vote per share. Shares held by shareholders abstaining from voting but otherwise present at the meeting in person or by proxy (“abstentions”), and broker shares that are not voted on a particular proposal because the broker does not have discretionary voting power for that proposal and have not received voting instructions from the beneficial owner (“broker non-votes”), are included in determining whether a quorum is present.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What vote is required for Proposal 1 – election of directors?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For Proposal 1, every shareholder has the right to vote each share of Common Stock owned by such shareholder on the Record Date for as many persons as there are directors to be elected. Cumulative voting is not permitted. The Company’s Articles of Incorporation provide for a majority voting standard in uncontested elections, meaning that the number of votes cast “FOR” a director nominee must exceed the number of votes cast “AGAINST” that director nominee (a “Majority Vote”). Abstentions and broker non-votes will not be counted as votes cast and will have no effect on the results of the vote for Proposal 1. 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What if a director nominee does not receive a Majority Vote?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The Company’s Corporate Governance Guidelines provide that any director in an uncontested election who does not receive a Majority Vote is expected to tender his or her resignation as a director. All of the current directors have tendered irrevocable resignations to the Company that will be effective if that director does not receive a Majority Vote and the Board accepts such resignation.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What vote is required for Proposal 2 – ratification of independent registered public accounting firm?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Proposal 2 requires the affirmative vote of the majority of the votes cast on the proposal, meaning that the number of shares voted “FOR” the proposal must exceed the number of shares voted “AGAINST” the proposal. Abstentions will not be counted as votes cast and will have no effect on the results of the vote for Proposal 2. Broker non-votes are not expected for Proposal 2.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What vote is required for Proposal 3 – advisory vote on named executive officer compensation (“say-on-pay”)?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Proposal 3 requires the affirmative vote of the majority of the votes cast on the proposal, meaning that the number of shares voted “FOR” the proposal must exceed the number of shares voted “AGAINST” the proposal. Abstentions and broker non-votes will not be counted as votes cast and will have no effect on the results of the vote for Proposal 3. </w:t>
      </w:r>
    </w:p>
    <w:tbl>
      <w:tblPr>
        <w:tblW w:w="3510" w:type="dxa"/>
        <w:jc w:val="left"/>
        <w:tblInd w:w="0" w:type="dxa"/>
        <w:tblLayout w:type="fixed"/>
        <w:tblCellMar>
          <w:top w:w="0" w:type="dxa"/>
          <w:left w:w="0" w:type="dxa"/>
          <w:bottom w:w="0" w:type="dxa"/>
          <w:right w:w="0" w:type="dxa"/>
        </w:tblCellMar>
      </w:tblPr>
      <w:tblGrid>
        <w:gridCol w:w="1985"/>
        <w:gridCol w:w="170"/>
        <w:gridCol w:w="170"/>
        <w:gridCol w:w="17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 w:name="ny20072699x1_def14a_104-qa_pg3"/>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What vote is required for Proposal 4 – shareholder proposal?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Proposal 4 requires the affirmative vote of the majority of the votes cast on the proposal, meaning that the number of shares voted “FOR” the proposal must exceed the number of shares voted “AGAINST” the proposal. Abstentions and broker non-votes will not be counted as votes cast and will have no effect on the results of the vote for Proposal 4. </w:t>
      </w:r>
    </w:p>
    <w:p>
      <w:pPr>
        <w:pStyle w:val="TextBody"/>
        <w:bidi w:val="0"/>
        <w:spacing w:before="28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How do I vote my shares?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You may vote at the Annual Meeting through the virtual meeting website at www.virtualshareholdermeeting.com/CASY2026 or by submitting a completed proxy. </w:t>
      </w:r>
    </w:p>
    <w:p>
      <w:pPr>
        <w:pStyle w:val="TextBody"/>
        <w:bidi w:val="0"/>
        <w:spacing w:before="28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What is a proxy?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By submitting a proxy, you are legally authorizing another person to vote your shares. The proxy card designates Darren M. Rebelez and Judy A. Schmeling to vote your shares in accordance with the voting instructions you indicate on your proxy card. If you submit your proxy card designating Mr. Rebelez and Ms. Schmeling as the individuals authorized to vote your shares, but you do not indicate how your shares are to be voted, your shares will be voted by these individuals in accordance with the Board’s recommendations, which are described in this Proxy Statement. If any matters, other than those in this Proxy Statement, are properly raised at the Annual Meeting, these individuals will have the authority to vote your shares on those matters in accordance with their discretion and judgment.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How do I vote by submitting a completed proxy?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u w:val="single"/>
        </w:rPr>
        <w:t>Mail</w:t>
      </w:r>
      <w:r>
        <w:rPr>
          <w:rFonts w:ascii="Times New Roman;Times;serif" w:hAnsi="Times New Roman;Times;serif"/>
          <w:color w:val="000000"/>
          <w:sz w:val="19"/>
        </w:rPr>
        <w:t xml:space="preserve">: You can vote your shares by mail by requesting a paper copy of the proxy materials by following the instructions on the Notice and promptly returning your completed proxy card in the envelope provided. For your proxy to be validly submitted and your shares to be voted in accordance with your instructions, mail your proxy card in time for it to be received by the morning of September 2, 2026.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u w:val="single"/>
        </w:rPr>
        <w:t>Telephone</w:t>
      </w:r>
      <w:r>
        <w:rPr>
          <w:rFonts w:ascii="Times New Roman;Times;serif" w:hAnsi="Times New Roman;Times;serif"/>
          <w:color w:val="000000"/>
          <w:sz w:val="19"/>
        </w:rPr>
        <w:t xml:space="preserve">: You can vote your shares by calling the toll-free number indicated on your proxy card at any time on a touch-tone telephone and following the recorded instructions. If you vote by telephone, you may submit your voting instructions until 11:59 pm Eastern Time on September 1, 2026. If you are a beneficial owner, or you hold your shares in “street name,” contact your bank, broker or other holder of record to determine whether you will be able to vote by telephone.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u w:val="single"/>
        </w:rPr>
        <w:t>Internet (prior to the Annual Meeting)</w:t>
      </w:r>
      <w:r>
        <w:rPr>
          <w:rFonts w:ascii="Times New Roman;Times;serif" w:hAnsi="Times New Roman;Times;serif"/>
          <w:color w:val="000000"/>
          <w:sz w:val="19"/>
        </w:rPr>
        <w:t xml:space="preserve">: You can vote your shares on the Internet by going to the website indicated on your proxy card and following the steps outlined. If you vote on the Internet, you may submit your voting instructions until 11:59 pm Eastern Time on September 1, 2026. If you are a beneficial owner, or you hold your shares in “street name,” contact your bank, broker or other holder of record to determine whether you will be able to vote on the Internet.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What if I hold shares through the Company’s 401(k) Plan?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If you hold shares through the Company’s 401(k) Plan (the “401(k) Plan”), the shares are not registered in your name, and your name will not appear in the Company’s register of shareholders. Instead, your shares are registered in the name of a trust, administered by Principal Trust Company (the “Trustee”). Only the Trustee will be able to vote your shares, even if you attend the Annual Meeting. You can direct the voting of the shares allocated to your account—including changing or revoking a previously submitted vote—on the Internet, by telephone or by mail on a proxy instruction card but cannot direct the voting of your 401(k) Plan shares at the meeting. If voting instructions for shares in the 401(k) Plan are not returned, those shares will be voted by the Trustee in the same proportion as the shares for which voting instructions are returned by the other 401(k) Plan participants. To allow time for the Trustee to tabulate the vote of the 401(k) Plan shares, participant instructions must be received before 11:59 pm Eastern Time on August 27, 2026.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Can I change my vote?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Yes. If you have previously submitted a proxy card, you may change any vote you may have cast by following the instructions on the proxy card to vote by telephone or on the Internet, or by completing, signing, dating and returning a new proxy card, or by attending the Annual Meeting and voting your shares. If your shares are registered in the “street name” of a bank, broker or other holder of record, please contact the applicable bank, broker or record holder for instructions on how to change or revoke your vote.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Is my proxy revocable?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Yes. Your proxy is revocable. If you are a shareholder of record, you may revoke it by mail before the Annual Meeting by sending a written notice to Scott Faber, Corporate Secretary, Casey’s General Stores, Inc., One SE Convenience Blvd., Ankeny, Iowa 50021. If you wish to revoke your submitted proxy card and submit new voting instructions by mail, then you must sign, </w:t>
      </w:r>
    </w:p>
    <w:tbl>
      <w:tblPr>
        <w:tblW w:w="3510" w:type="dxa"/>
        <w:jc w:val="left"/>
        <w:tblInd w:w="0" w:type="dxa"/>
        <w:tblLayout w:type="fixed"/>
        <w:tblCellMar>
          <w:top w:w="0" w:type="dxa"/>
          <w:left w:w="0" w:type="dxa"/>
          <w:bottom w:w="0" w:type="dxa"/>
          <w:right w:w="0" w:type="dxa"/>
        </w:tblCellMar>
      </w:tblPr>
      <w:tblGrid>
        <w:gridCol w:w="1985"/>
        <w:gridCol w:w="170"/>
        <w:gridCol w:w="170"/>
        <w:gridCol w:w="17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 w:name="ny20072699x1_def14a_104-qa_pg4"/>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date and mail a new proxy card with your new voting instructions. Please mail any new proxy card in time for it to be received by the morning of September 1, 2026. If you are a shareholder of record and you voted your proxy card by telephone or on the Internet, you may revoke your submitted proxy and/or submit new voting instructions by that same method, which must be received by 11:59 pm Eastern Time on September 1, 2026. You also may revoke your proxy card by attending the Annual Meeting and voting your shares. Attending the Annual Meeting without taking one of the actions above will not revoke your proxy. If you are a beneficial owner, or you hold your shares in “street name” as described below, please contact your bank, broker or other holder of record for instructions on how to change or revoke your vote.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What if I hold my shares in “street name” through a bank or broker?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If your shares are not registered in your name but in the “street name” of a bank, broker or other holder of record (a “Nominee”), your name will not appear in the Company’s register of shareholders. Your Nominee, as the record holder of your shares, is required to vote those shares in accordance with your instructions. If you do not give instructions to your Nominee, your Nominee will be entitled to vote the shares with respect to “discretionary” items but will not be permitted to vote the shares with respect to “non-discretionary” items—those shares are treated as broker non-votes. Proposal 1—election of directors, Proposal 3—executive officer compensation, and Proposal 4—shareholder proposal, are “non-discretionary” items for any Nominee holding shares on your behalf. As a result, if your shares are held in “street name” and you do not provide instructions as to how your shares are to be voted, your Nominee will not be able to vote your shares on these proposals. Note that even if you attend the virtual Annual Meeting, you cannot vote the shares that are held by your Nominee unless you have a proxy from your Nominee. If you do not provide instructions to your Nominee and your Nominee does not vote your shares on your behalf with respect to Proposal 2—ratification of the selection of the independent registered public accounting firm, which is a “discretionary” item, your shares will not be counted in determining whether a quorum is present for the Annual Meeting. If your Nominee exercises its “discretionary” authority to vote your shares on Proposal 2, your shares will be counted in determining whether a quorum is present for all matters presented at the Annual Meeting. We urge you to provide instructions to your Nominee so that your votes may be counted on these important matters. Please contact your Nominee for the deadlines for submission of your vote and for instructions on how to change or revoke your vote. </w:t>
      </w:r>
    </w:p>
    <w:p>
      <w:pPr>
        <w:pStyle w:val="TextBody"/>
        <w:bidi w:val="0"/>
        <w:spacing w:before="270" w:after="283"/>
        <w:ind w:left="0" w:right="0" w:hanging="0"/>
        <w:jc w:val="left"/>
        <w:rPr>
          <w:rFonts w:ascii="Times New Roman;Times;serif" w:hAnsi="Times New Roman;Times;serif"/>
          <w:b/>
          <w:color w:val="000000"/>
          <w:sz w:val="19"/>
        </w:rPr>
      </w:pPr>
      <w:bookmarkStart w:id="23" w:name="tMAIL"/>
      <w:bookmarkEnd w:id="23"/>
      <w:r>
        <w:rPr>
          <w:rFonts w:ascii="Times New Roman;Times;serif" w:hAnsi="Times New Roman;Times;serif"/>
          <w:b/>
          <w:color w:val="000000"/>
          <w:sz w:val="19"/>
        </w:rPr>
        <w:t xml:space="preserve">What is the Company’s mailing address? </w:t>
      </w:r>
    </w:p>
    <w:p>
      <w:pPr>
        <w:pStyle w:val="TextBody"/>
        <w:bidi w:val="0"/>
        <w:spacing w:before="20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The Company’s principal executive office mailing address is One SE Convenience Blvd., Ankeny, Iowa 50021.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D9D9D9" w:val="clear"/>
            <w:vAlign w:val="center"/>
          </w:tcPr>
          <w:p>
            <w:pPr>
              <w:pStyle w:val="TableContents"/>
              <w:bidi w:val="0"/>
              <w:spacing w:before="0" w:after="0"/>
              <w:jc w:val="left"/>
              <w:rPr/>
            </w:pPr>
            <w:r>
              <w:rPr/>
              <w:t> </w:t>
            </w:r>
          </w:p>
        </w:tc>
        <w:tc>
          <w:tcPr>
            <w:tcW w:w="9805"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5" w:type="dxa"/>
            <w:tcBorders>
              <w:bottom w:val="single" w:sz="8" w:space="0" w:color="000000"/>
            </w:tcBorders>
            <w:shd w:fill="D9D9D9" w:val="clear"/>
            <w:tcMar>
              <w:bottom w:w="55" w:type="dxa"/>
            </w:tcMar>
            <w:vAlign w:val="center"/>
          </w:tcPr>
          <w:p>
            <w:pPr>
              <w:pStyle w:val="TableContents"/>
              <w:bidi w:val="0"/>
              <w:spacing w:before="0" w:after="283"/>
              <w:ind w:left="35" w:right="0" w:hanging="0"/>
              <w:jc w:val="both"/>
              <w:rPr>
                <w:rFonts w:ascii="Times New Roman;Times;serif" w:hAnsi="Times New Roman;Times;serif"/>
                <w:b/>
                <w:color w:val="000000"/>
                <w:sz w:val="18"/>
              </w:rPr>
            </w:pPr>
            <w:r>
              <w:rPr>
                <w:rFonts w:ascii="Times New Roman;Times;serif" w:hAnsi="Times New Roman;Times;serif"/>
                <w:b/>
                <w:color w:val="000000"/>
                <w:sz w:val="18"/>
              </w:rPr>
              <w:t xml:space="preserve">Important Notice Regarding the Availability of Proxy Materials for the Annual Meeting of Shareholders to be held on September 2, 2026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To attend the virtual Annual Meeting, visit www.virtualshareholdermeeting.com/CASY2026. Information on how to vote at the virtual Annual Meeting is available by contacting Scott Faber, Corporate Secretary at (515) 963-3802, or by writing to us at: Casey’s General Stores, Inc., Corporate Secretary, One SE Convenience Blvd., Ankeny, Iowa 50021.</w:t>
            </w:r>
          </w:p>
          <w:p>
            <w:pPr>
              <w:pStyle w:val="TableContents"/>
              <w:bidi w:val="0"/>
              <w:spacing w:before="0" w:after="283"/>
              <w:ind w:left="35" w:right="0" w:hanging="0"/>
              <w:jc w:val="left"/>
              <w:rPr>
                <w:color w:val="000000"/>
              </w:rPr>
            </w:pPr>
            <w:r>
              <w:rPr>
                <w:color w:val="000000"/>
              </w:rPr>
              <w:t xml:space="preserve">  </w:t>
            </w:r>
          </w:p>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The Notice of Annual Meeting of Shareholders, this Proxy Statement and the Annual Report to Shareholders for the year ended April 30, 2026, are available at http://materials.proxyvote.com/147528. The Company also makes available, free of charge through its website—www.caseys.com, under the “Investor Relations” link at the bottom of each page—this Proxy Statement, the Annual Report to Shareholders, the Annual Report on Form 10-K, Quarterly Reports on Form 10-Q, Current Reports on Form 8-K and amendments to these reports filed or furnished pursuant to Section 13(a) or 15(d) of the Securities Exchange Act of 1934, as amended, as soon as reasonably practicable after these documents are electronically filed with, or furnished to, the Securities and Exchange Commission (the “SEC”).</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510" w:type="dxa"/>
        <w:jc w:val="left"/>
        <w:tblInd w:w="0" w:type="dxa"/>
        <w:tblLayout w:type="fixed"/>
        <w:tblCellMar>
          <w:top w:w="0" w:type="dxa"/>
          <w:left w:w="0" w:type="dxa"/>
          <w:bottom w:w="0" w:type="dxa"/>
          <w:right w:w="0" w:type="dxa"/>
        </w:tblCellMar>
      </w:tblPr>
      <w:tblGrid>
        <w:gridCol w:w="1985"/>
        <w:gridCol w:w="170"/>
        <w:gridCol w:w="170"/>
        <w:gridCol w:w="17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4" w:name="ny20072699x1_def14a_105-prop1_pg1"/>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bookmarkStart w:id="25" w:name="tP1"/>
      <w:bookmarkEnd w:id="25"/>
      <w:r>
        <w:rPr>
          <w:rFonts w:ascii="Times New Roman;Times;serif" w:hAnsi="Times New Roman;Times;serif"/>
          <w:b/>
          <w:color w:val="000000"/>
          <w:sz w:val="24"/>
          <w:u w:val="single"/>
        </w:rPr>
        <w:t>PROPOSAL 1: ELECTION OF DIRECTORS</w:t>
      </w:r>
      <w:r>
        <w:rPr>
          <w:rFonts w:ascii="Times New Roman;Times;serif" w:hAnsi="Times New Roman;Times;serif"/>
          <w:b/>
          <w:color w:val="000000"/>
          <w:sz w:val="24"/>
        </w:rPr>
        <w:t xml:space="preserve"> </w:t>
      </w:r>
    </w:p>
    <w:p>
      <w:pPr>
        <w:pStyle w:val="TextBody"/>
        <w:bidi w:val="0"/>
        <w:spacing w:before="290" w:after="283"/>
        <w:ind w:left="0" w:right="0" w:hanging="0"/>
        <w:jc w:val="left"/>
        <w:rPr>
          <w:rFonts w:ascii="Times New Roman;Times;serif" w:hAnsi="Times New Roman;Times;serif"/>
          <w:b/>
          <w:color w:val="000000"/>
          <w:sz w:val="19"/>
        </w:rPr>
      </w:pPr>
      <w:bookmarkStart w:id="26" w:name="tDNS"/>
      <w:bookmarkEnd w:id="26"/>
      <w:r>
        <w:rPr>
          <w:rFonts w:ascii="Times New Roman;Times;serif" w:hAnsi="Times New Roman;Times;serif"/>
          <w:b/>
          <w:color w:val="000000"/>
          <w:sz w:val="19"/>
          <w:u w:val="single"/>
        </w:rPr>
        <w:t>Director Nominee Selection Process</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To ensure the Board is comprised of highly-talented and experienced individuals, the Nominating and Corporate Governance Committee (the “NCG Committee”) annually assesses the competencies and skills possessed by each director. The NCG Committee also considers the skills and competencies the Board, as a whole, should possess to provide effective oversight of the Company’s business. Based on that assessment and as otherwise deemed appropriate, the NCG Committee may establish search criteria for Board candidates, select suitable candidates for interviews and recommend appropriate candidates to the Board for consideration. Board candidates are considered based on various criteria, including relevant business and board skills and experiences, judgment and integrity, reputation in their profession, background, education, leadership ability, concern for the interests of shareholders and relevant regulatory guidelines. These considerations are made in light of the needs of the Board at the particular point in time.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The director nominees have a broad skillset and backgrounds across areas that are directly relevant to the long-term success of the Company:</w:t>
      </w:r>
    </w:p>
    <w:p>
      <w:pPr>
        <w:pStyle w:val="TextBody"/>
        <w:bidi w:val="0"/>
        <w:spacing w:before="355" w:after="283"/>
        <w:jc w:val="center"/>
        <w:rPr>
          <w:color w:val="000000"/>
        </w:rPr>
      </w:pPr>
      <w:r>
        <w:rPr>
          <w:color w:val="000000"/>
        </w:rPr>
        <w:drawing>
          <wp:inline distT="0" distB="0" distL="0" distR="0">
            <wp:extent cx="6000750" cy="5981700"/>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6000750" cy="5981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3510" w:type="dxa"/>
        <w:jc w:val="left"/>
        <w:tblInd w:w="0" w:type="dxa"/>
        <w:tblLayout w:type="fixed"/>
        <w:tblCellMar>
          <w:top w:w="0" w:type="dxa"/>
          <w:left w:w="0" w:type="dxa"/>
          <w:bottom w:w="0" w:type="dxa"/>
          <w:right w:w="0" w:type="dxa"/>
        </w:tblCellMar>
      </w:tblPr>
      <w:tblGrid>
        <w:gridCol w:w="1985"/>
        <w:gridCol w:w="170"/>
        <w:gridCol w:w="170"/>
        <w:gridCol w:w="17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7" w:name="ny20072699x1_def14a_105-prop1_pg2"/>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Times New Roman;Times;serif" w:hAnsi="Times New Roman;Times;serif"/>
          <w:b/>
          <w:color w:val="000000"/>
          <w:sz w:val="19"/>
        </w:rPr>
      </w:pPr>
      <w:bookmarkStart w:id="28" w:name="tBS"/>
      <w:bookmarkEnd w:id="28"/>
      <w:r>
        <w:rPr>
          <w:rFonts w:ascii="Times New Roman;Times;serif" w:hAnsi="Times New Roman;Times;serif"/>
          <w:b/>
          <w:color w:val="000000"/>
          <w:sz w:val="19"/>
          <w:u w:val="single"/>
        </w:rPr>
        <w:t>Board Structure</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The Board may consist of between seven and twelve persons, and individuals may be elected by the Board to fill any vacancies or to occupy any new directorships. The person filling a vacancy or a newly-created directorship serves until the next annual shareholders’ meeting following their election and until their successor is elected and qualified. All director nominees stand for annual election.</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On June 4, 2026, the Board, based on a recommendation of the NCG Committee, increased the number of directors from eleven to twelve, and appointed Mr. Sutula to the Board. Mr. Sutula, who brings a wealth of finance, corporate strategy and leadership experience to the Board, is standing for annual election by the shareholders for the first time at the Annual Meeting – his detailed biography is set forth below. The appointment coincides with the announced retirement of Cara Heiden, who is retiring from Board (and will not stand for re-election) as of the Annual Meeting. As a result of her retirement, the number of directors will be reduced from twelve to eleven as of the Annual Meeting, with all eleven nominees standing for election for an annual term. </w:t>
      </w:r>
    </w:p>
    <w:p>
      <w:pPr>
        <w:pStyle w:val="TextBody"/>
        <w:bidi w:val="0"/>
        <w:spacing w:before="290" w:after="283"/>
        <w:ind w:left="0" w:right="0" w:hanging="0"/>
        <w:jc w:val="left"/>
        <w:rPr>
          <w:rFonts w:ascii="Times New Roman;Times;serif" w:hAnsi="Times New Roman;Times;serif"/>
          <w:b/>
          <w:color w:val="000000"/>
          <w:sz w:val="19"/>
        </w:rPr>
      </w:pPr>
      <w:bookmarkStart w:id="29" w:name="tBL"/>
      <w:bookmarkEnd w:id="29"/>
      <w:r>
        <w:rPr>
          <w:rFonts w:ascii="Times New Roman;Times;serif" w:hAnsi="Times New Roman;Times;serif"/>
          <w:b/>
          <w:color w:val="000000"/>
          <w:sz w:val="19"/>
          <w:u w:val="single"/>
        </w:rPr>
        <w:t>Board Leadership</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Board has no fixed policy with respect to the combination of the positions of Board Chair and CEO, as the Board believes that it is in the best interests of the Company and its shareholders for the Board to assess the Board leadership structure in light of the circumstances then existing. If the Board Chair is not an independent director, the independent directors will designate a lead independent director, selected from the independent directors, who will carry out those duties as set forth in the Company’s Corporate Governance Guidelines (the “Guidelines”).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Since June of 2023, Mr. Rebelez, our President and CEO, has also been the Board Chair. The Board believes that Mr. Rebelez’s inclusive leadership style, exceptional track record of success since his appointment as President and CEO in 2019, and deep understanding of the Company’s business, growth opportunities and challenges, make him uniquely qualified to provide strong and effective leadership to the Board, foster a collaborative relationship between the Board and management, and promote alignment of the Company’s long-term strategic plan with its operational and financial execution. Since that time, Ms. Schmeling has been the Lead Independent Director (“LID”). The Board determined that her exceptional mix of strategic management skills and executive and outside board leadership experience (including outside board chair experience) was ideal for the role and responsibilities of LID and to serve as the primary liaison between the Board and management going forward.</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position of LID at Casey’s will be evaluated by the NCG Committee, and elected by the independent directors, on an annual basis, taking into consideration the needs of the Board and the Company at such time. The role itself has a clear mandate, significant authority and well-defined and robust responsibilities/duties under the Guidelines, which were significantly enhanced as part of Mr. Rebelez’s and Ms. Schmeling’s respective appointments to Board Chair and LID. The LID responsibilities/duties, as set forth in the Guidelines, include the following: </w:t>
      </w:r>
    </w:p>
    <w:p>
      <w:pPr>
        <w:pStyle w:val="TextBody"/>
        <w:bidi w:val="0"/>
        <w:spacing w:before="29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u w:val="single"/>
        </w:rPr>
        <w:t>Board Leadership</w:t>
      </w:r>
      <w:r>
        <w:rPr>
          <w:rFonts w:ascii="Times New Roman;Times;serif" w:hAnsi="Times New Roman;Times;serif"/>
          <w:color w:val="000000"/>
          <w:sz w:val="19"/>
        </w:rPr>
        <w:t xml:space="preserv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Preside at all executive sessions of the independent directors and at any other meetings of the Board at which the Board Chair is not present, or otherwise at the Board Chair’s request </w:t>
            </w:r>
          </w:p>
        </w:tc>
      </w:tr>
    </w:tbl>
    <w:tbl>
      <w:tblPr>
        <w:tblW w:w="7090" w:type="dxa"/>
        <w:jc w:val="left"/>
        <w:tblInd w:w="0" w:type="dxa"/>
        <w:tblLayout w:type="fixed"/>
        <w:tblCellMar>
          <w:top w:w="0" w:type="dxa"/>
          <w:left w:w="0" w:type="dxa"/>
          <w:bottom w:w="0" w:type="dxa"/>
          <w:right w:w="0" w:type="dxa"/>
        </w:tblCellMar>
      </w:tblPr>
      <w:tblGrid>
        <w:gridCol w:w="140"/>
        <w:gridCol w:w="6950"/>
      </w:tblGrid>
      <w:tr>
        <w:trPr/>
        <w:tc>
          <w:tcPr>
            <w:tcW w:w="140" w:type="dxa"/>
            <w:tcBorders/>
            <w:vAlign w:val="center"/>
          </w:tcPr>
          <w:p>
            <w:pPr>
              <w:pStyle w:val="TableContents"/>
              <w:bidi w:val="0"/>
              <w:spacing w:before="0" w:after="0"/>
              <w:jc w:val="left"/>
              <w:rPr>
                <w:color w:val="000000"/>
              </w:rPr>
            </w:pPr>
            <w:r>
              <w:rPr>
                <w:color w:val="000000"/>
              </w:rPr>
              <w:t>•</w:t>
            </w:r>
          </w:p>
        </w:tc>
        <w:tc>
          <w:tcPr>
            <w:tcW w:w="6950"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Serve as interim Board Chair if the Board Chair is unable to perform his or her duties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Participate in establishing, soliciting input from the independent directors for, and approving Board meeting agendas and the Board meeting calendar and schedule, and establish agendas for the executive sessions of the independent directors </w:t>
            </w:r>
          </w:p>
        </w:tc>
      </w:tr>
    </w:tbl>
    <w:tbl>
      <w:tblPr>
        <w:tblW w:w="5455" w:type="dxa"/>
        <w:jc w:val="left"/>
        <w:tblInd w:w="0" w:type="dxa"/>
        <w:tblLayout w:type="fixed"/>
        <w:tblCellMar>
          <w:top w:w="0" w:type="dxa"/>
          <w:left w:w="0" w:type="dxa"/>
          <w:bottom w:w="0" w:type="dxa"/>
          <w:right w:w="0" w:type="dxa"/>
        </w:tblCellMar>
      </w:tblPr>
      <w:tblGrid>
        <w:gridCol w:w="140"/>
        <w:gridCol w:w="5315"/>
      </w:tblGrid>
      <w:tr>
        <w:trPr/>
        <w:tc>
          <w:tcPr>
            <w:tcW w:w="14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Call meetings of the independent directors, if and as appropriate </w:t>
            </w:r>
          </w:p>
        </w:tc>
      </w:tr>
    </w:tbl>
    <w:tbl>
      <w:tblPr>
        <w:tblW w:w="9835" w:type="dxa"/>
        <w:jc w:val="left"/>
        <w:tblInd w:w="0" w:type="dxa"/>
        <w:tblLayout w:type="fixed"/>
        <w:tblCellMar>
          <w:top w:w="0" w:type="dxa"/>
          <w:left w:w="0" w:type="dxa"/>
          <w:bottom w:w="0" w:type="dxa"/>
          <w:right w:w="0" w:type="dxa"/>
        </w:tblCellMar>
      </w:tblPr>
      <w:tblGrid>
        <w:gridCol w:w="140"/>
        <w:gridCol w:w="9695"/>
      </w:tblGrid>
      <w:tr>
        <w:trPr/>
        <w:tc>
          <w:tcPr>
            <w:tcW w:w="140" w:type="dxa"/>
            <w:tcBorders/>
            <w:vAlign w:val="center"/>
          </w:tcPr>
          <w:p>
            <w:pPr>
              <w:pStyle w:val="TableContents"/>
              <w:bidi w:val="0"/>
              <w:spacing w:before="0" w:after="0"/>
              <w:jc w:val="left"/>
              <w:rPr>
                <w:color w:val="000000"/>
              </w:rPr>
            </w:pPr>
            <w:r>
              <w:rPr>
                <w:color w:val="000000"/>
              </w:rPr>
              <w:t>•</w:t>
            </w:r>
          </w:p>
        </w:tc>
        <w:tc>
          <w:tcPr>
            <w:tcW w:w="969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Provide feedback regarding the quality, quantity, appropriateness and timeliness of information provided to the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Advise and recommend outside advisors and consultants who report to the Board, and authorize the retention of those who report directly to the independent directors </w:t>
            </w:r>
          </w:p>
        </w:tc>
      </w:tr>
    </w:tbl>
    <w:tbl>
      <w:tblPr>
        <w:tblW w:w="10045" w:type="dxa"/>
        <w:jc w:val="left"/>
        <w:tblInd w:w="0" w:type="dxa"/>
        <w:tblLayout w:type="fixed"/>
        <w:tblCellMar>
          <w:top w:w="0" w:type="dxa"/>
          <w:left w:w="0" w:type="dxa"/>
          <w:bottom w:w="0" w:type="dxa"/>
          <w:right w:w="0" w:type="dxa"/>
        </w:tblCellMar>
      </w:tblPr>
      <w:tblGrid>
        <w:gridCol w:w="140"/>
        <w:gridCol w:w="9905"/>
      </w:tblGrid>
      <w:tr>
        <w:trPr/>
        <w:tc>
          <w:tcPr>
            <w:tcW w:w="14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Where appropriate, consult with the Chief Legal Officer for advice and counsel in the course of fulfilling the LID’s duties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Serve as an independent contact for independent directors on matters deemed to be best discussed initially with the LID or in other situations where the Board Chair is unavailable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Collaborate with the Board Chair and the NCG Committee, and as appropriate, the Board, to develop and implement the procedures governing the Board’s work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0" w:name="ny20072699x1_def14a_105-prop1_pg3"/>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u w:val="single"/>
        </w:rPr>
        <w:t>Board Culture</w:t>
      </w:r>
      <w:r>
        <w:rPr>
          <w:rFonts w:ascii="Times New Roman;Times;serif" w:hAnsi="Times New Roman;Times;serif"/>
          <w:color w:val="000000"/>
          <w:sz w:val="19"/>
        </w:rPr>
        <w:t xml:space="preserve"> </w:t>
      </w:r>
    </w:p>
    <w:tbl>
      <w:tblPr>
        <w:tblW w:w="9385" w:type="dxa"/>
        <w:jc w:val="left"/>
        <w:tblInd w:w="0" w:type="dxa"/>
        <w:tblLayout w:type="fixed"/>
        <w:tblCellMar>
          <w:top w:w="0" w:type="dxa"/>
          <w:left w:w="0" w:type="dxa"/>
          <w:bottom w:w="0" w:type="dxa"/>
          <w:right w:w="0" w:type="dxa"/>
        </w:tblCellMar>
      </w:tblPr>
      <w:tblGrid>
        <w:gridCol w:w="140"/>
        <w:gridCol w:w="9245"/>
      </w:tblGrid>
      <w:tr>
        <w:trPr/>
        <w:tc>
          <w:tcPr>
            <w:tcW w:w="14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Facilitate the efficient and effective functioning and performance of the Board and its committees, as appropriate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Along with the Board Chair, encourage and facilitate active and candid participation of all directors, including by fostering an environment of open dialogue and constructive feedback among the independent directors that ensures diverse viewpoints of all directors are heard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Facilitate discussion among the independent directors on key issues and concerns outside of Board meetings, in an effort to develop consensus between the independent directors </w:t>
            </w:r>
          </w:p>
        </w:tc>
      </w:tr>
    </w:tbl>
    <w:p>
      <w:pPr>
        <w:pStyle w:val="TextBody"/>
        <w:bidi w:val="0"/>
        <w:spacing w:before="2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u w:val="single"/>
        </w:rPr>
        <w:t>Internal Communication</w:t>
      </w:r>
      <w:r>
        <w:rPr>
          <w:rFonts w:ascii="Times New Roman;Times;serif" w:hAnsi="Times New Roman;Times;serif"/>
          <w:color w:val="000000"/>
          <w:sz w:val="19"/>
        </w:rPr>
        <w:t xml:space="preserv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Serve as the principal liaison between the independent directors and the Board Chair/CEO to facilitate clear communication, respect, and trust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Ensure smooth information flow by providing feedback to the Board Chair regarding issues discussed, views expressed, decisions made, etc. during executive sessions of the independent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Participate in discussions with the Board Chair regarding the results of the annual CEO, Board and committee performance evaluations </w:t>
            </w:r>
          </w:p>
        </w:tc>
      </w:tr>
    </w:tbl>
    <w:tbl>
      <w:tblPr>
        <w:tblW w:w="5380" w:type="dxa"/>
        <w:jc w:val="left"/>
        <w:tblInd w:w="0" w:type="dxa"/>
        <w:tblLayout w:type="fixed"/>
        <w:tblCellMar>
          <w:top w:w="0" w:type="dxa"/>
          <w:left w:w="0" w:type="dxa"/>
          <w:bottom w:w="0" w:type="dxa"/>
          <w:right w:w="0" w:type="dxa"/>
        </w:tblCellMar>
      </w:tblPr>
      <w:tblGrid>
        <w:gridCol w:w="140"/>
        <w:gridCol w:w="5240"/>
      </w:tblGrid>
      <w:tr>
        <w:trPr/>
        <w:tc>
          <w:tcPr>
            <w:tcW w:w="14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Meet regularly with the Board Chair outside of Board meetings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Review with the Corporate Secretary the LID responsibilities on an annual basis, and recommend to the Board for approval of any modifications or changes </w:t>
            </w:r>
          </w:p>
        </w:tc>
      </w:tr>
    </w:tbl>
    <w:p>
      <w:pPr>
        <w:pStyle w:val="TextBody"/>
        <w:bidi w:val="0"/>
        <w:spacing w:before="2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u w:val="single"/>
        </w:rPr>
        <w:t>Stakeholder Engagement</w:t>
      </w:r>
      <w:r>
        <w:rPr>
          <w:rFonts w:ascii="Times New Roman;Times;serif" w:hAnsi="Times New Roman;Times;serif"/>
          <w:color w:val="000000"/>
          <w:sz w:val="19"/>
        </w:rPr>
        <w:t xml:space="preserv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As deemed appropriate by the Board, be available for consultation and serve as a point of contact for direct communication with shareholders and other key constituents who request communication with independent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Act as a spokesperson on behalf of the Board in circumstances where it is appropriate for the Board to have a voice independent of management </w:t>
            </w:r>
          </w:p>
        </w:tc>
      </w:tr>
    </w:tbl>
    <w:p>
      <w:pPr>
        <w:pStyle w:val="TextBody"/>
        <w:bidi w:val="0"/>
        <w:spacing w:before="2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u w:val="single"/>
        </w:rPr>
        <w:t>Succession Planning, Performance Evaluations, Compensation and Development</w:t>
      </w:r>
      <w:r>
        <w:rPr>
          <w:rFonts w:ascii="Times New Roman;Times;serif" w:hAnsi="Times New Roman;Times;serif"/>
          <w:color w:val="000000"/>
          <w:sz w:val="19"/>
        </w:rPr>
        <w:t xml:space="preserv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Help facilitate, and participate in discussions with, the Compensation and Human Capital Committee, and as appropriate the independent directors and the Board, regarding: (i) CEO succession planning, (ii) the annual performance evaluation of the CEO, and (iii) CEO compensation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Help facilitate, and participate in discussions with, the NCG Committee, and as appropriate the independent directors and the Board, regarding: (i) recommendations for Board and committee composition, leadership and development, and Board succession, including the interview and selection process for Board candidates and the chair position for each Board committee; conduct interviews, along with the NCG Chair, of candidates for such positions, and (ii) the Board, committee and director self-assessment process </w:t>
            </w:r>
          </w:p>
        </w:tc>
      </w:tr>
    </w:tbl>
    <w:p>
      <w:pPr>
        <w:pStyle w:val="TextBody"/>
        <w:bidi w:val="0"/>
        <w:spacing w:before="280" w:after="283"/>
        <w:ind w:left="0" w:right="0" w:hanging="0"/>
        <w:jc w:val="left"/>
        <w:rPr>
          <w:rFonts w:ascii="Times New Roman;Times;serif" w:hAnsi="Times New Roman;Times;serif"/>
          <w:b/>
          <w:color w:val="000000"/>
          <w:sz w:val="19"/>
        </w:rPr>
      </w:pPr>
      <w:bookmarkStart w:id="31" w:name="tNEA"/>
      <w:bookmarkEnd w:id="31"/>
      <w:r>
        <w:rPr>
          <w:rFonts w:ascii="Times New Roman;Times;serif" w:hAnsi="Times New Roman;Times;serif"/>
          <w:b/>
          <w:color w:val="000000"/>
          <w:sz w:val="19"/>
          <w:u w:val="single"/>
        </w:rPr>
        <w:t>Nominees for Election at the Annual Meeting</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NCG Committee has recommended, and the Board has nominated, each of the eleven director nominees below to stand for election at the Annual Meeting, each for an annual term expiring in 2027. The Board believes that each nominee has demonstrated outstanding achievement in their careers, possesses personal and professional integrity and independent judgment, and has the necessary skills and qualifications to provide effective oversight, strategic guidance and contribute to the future success and growth of the Company.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It is intended that all proxies, unless contrary instructions are given thereon, will be voted </w:t>
      </w:r>
      <w:r>
        <w:rPr>
          <w:rFonts w:ascii="Times New Roman;Times;serif" w:hAnsi="Times New Roman;Times;serif"/>
          <w:b/>
          <w:i/>
          <w:color w:val="000000"/>
          <w:sz w:val="19"/>
          <w:u w:val="single"/>
        </w:rPr>
        <w:t>FOR</w:t>
      </w:r>
      <w:r>
        <w:rPr>
          <w:rFonts w:ascii="Times New Roman;Times;serif" w:hAnsi="Times New Roman;Times;serif"/>
          <w:color w:val="000000"/>
          <w:sz w:val="19"/>
        </w:rPr>
        <w:t xml:space="preserve"> the election of the eleven director nominees. In the event of death or disqualification of any nominee, or the refusal or inability of any nominees to serve as a director, the proxy may be voted with discretionary authority for the election of a substitute nominee approved by the Board. </w:t>
      </w:r>
    </w:p>
    <w:p>
      <w:pPr>
        <w:pStyle w:val="TextBody"/>
        <w:bidi w:val="0"/>
        <w:spacing w:before="22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BOARD RECOMMENDS THAT YOU VOTE </w:t>
      </w:r>
      <w:r>
        <w:rPr>
          <w:rFonts w:ascii="Times New Roman;Times;serif" w:hAnsi="Times New Roman;Times;serif"/>
          <w:b/>
          <w:i/>
          <w:color w:val="000000"/>
          <w:sz w:val="20"/>
          <w:u w:val="single"/>
        </w:rPr>
        <w:t>FOR</w:t>
      </w:r>
      <w:r>
        <w:rPr>
          <w:rFonts w:ascii="Times New Roman;Times;serif" w:hAnsi="Times New Roman;Times;serif"/>
          <w:color w:val="000000"/>
          <w:sz w:val="20"/>
        </w:rPr>
        <w:t xml:space="preserve"> THE ELECTION OF EACH OF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ELEVEN DIRECTOR NOMINEES*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2" w:name="ny20072699x1_def14a_105-prop1_pg4"/>
        <w:bookmarkEnd w:id="32"/>
        <w:r>
          <w:rPr>
            <w:rStyle w:val="InternetLink"/>
            <w:rFonts w:ascii="Times New Roman;Times;Serif" w:hAnsi="Times New Roman;Times;Serif"/>
            <w:b/>
            <w:caps w:val="false"/>
            <w:smallCaps w:val="false"/>
            <w:color w:val="000000"/>
            <w:sz w:val="16"/>
          </w:rPr>
          <w:t>TABLE OF CONTENTS</w:t>
        </w:r>
      </w:hyperlink>
    </w:p>
    <w:tbl>
      <w:tblPr>
        <w:tblW w:w="10110" w:type="dxa"/>
        <w:jc w:val="left"/>
        <w:tblInd w:w="0" w:type="dxa"/>
        <w:tblLayout w:type="fixed"/>
        <w:tblCellMar>
          <w:top w:w="0" w:type="dxa"/>
          <w:left w:w="0" w:type="dxa"/>
          <w:bottom w:w="0" w:type="dxa"/>
          <w:right w:w="0" w:type="dxa"/>
        </w:tblCellMar>
      </w:tblPr>
      <w:tblGrid>
        <w:gridCol w:w="185"/>
        <w:gridCol w:w="9710"/>
        <w:gridCol w:w="215"/>
      </w:tblGrid>
      <w:tr>
        <w:trPr/>
        <w:tc>
          <w:tcPr>
            <w:tcW w:w="185" w:type="dxa"/>
            <w:tcBorders/>
            <w:shd w:fill="D9D9D9" w:val="clear"/>
            <w:vAlign w:val="center"/>
          </w:tcPr>
          <w:p>
            <w:pPr>
              <w:pStyle w:val="TableContents"/>
              <w:bidi w:val="0"/>
              <w:spacing w:before="0" w:after="0"/>
              <w:jc w:val="left"/>
              <w:rPr/>
            </w:pPr>
            <w:r>
              <w:rPr/>
              <w:t> </w:t>
            </w:r>
          </w:p>
        </w:tc>
        <w:tc>
          <w:tcPr>
            <w:tcW w:w="9710"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710"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Information About the Director Nominees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710"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I = Independent, A = Audit Committee, * = Audit Committee Financial Expert, NCG = Nominating and Corporate Governance Committee, </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C/HC = Compensation and Human Capital Committee</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71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661"/>
        <w:gridCol w:w="238"/>
        <w:gridCol w:w="238"/>
        <w:gridCol w:w="1669"/>
        <w:gridCol w:w="238"/>
        <w:gridCol w:w="238"/>
        <w:gridCol w:w="2750"/>
        <w:gridCol w:w="238"/>
        <w:gridCol w:w="238"/>
        <w:gridCol w:w="2293"/>
        <w:gridCol w:w="219"/>
      </w:tblGrid>
      <w:tr>
        <w:trPr/>
        <w:tc>
          <w:tcPr>
            <w:tcW w:w="185" w:type="dxa"/>
            <w:tcBorders/>
            <w:shd w:fill="F2F2F2" w:val="clear"/>
            <w:vAlign w:val="center"/>
          </w:tcPr>
          <w:p>
            <w:pPr>
              <w:pStyle w:val="TableContents"/>
              <w:bidi w:val="0"/>
              <w:spacing w:before="0" w:after="0"/>
              <w:jc w:val="left"/>
              <w:rPr/>
            </w:pPr>
            <w:r>
              <w:rPr/>
              <w:t> </w:t>
            </w:r>
          </w:p>
        </w:tc>
        <w:tc>
          <w:tcPr>
            <w:tcW w:w="3806" w:type="dxa"/>
            <w:gridSpan w:val="4"/>
            <w:tcBorders/>
            <w:shd w:fill="F2F2F2" w:val="clear"/>
            <w:vAlign w:val="center"/>
          </w:tcPr>
          <w:p>
            <w:pPr>
              <w:pStyle w:val="TableContents"/>
              <w:bidi w:val="0"/>
              <w:spacing w:before="0" w:after="0"/>
              <w:jc w:val="left"/>
              <w:rPr/>
            </w:pPr>
            <w:r>
              <w:rPr/>
              <w:t> </w:t>
            </w:r>
          </w:p>
        </w:tc>
        <w:tc>
          <w:tcPr>
            <w:tcW w:w="238" w:type="dxa"/>
            <w:tcBorders/>
            <w:shd w:fill="F2F2F2" w:val="clear"/>
            <w:vAlign w:val="center"/>
          </w:tcPr>
          <w:p>
            <w:pPr>
              <w:pStyle w:val="TableContents"/>
              <w:bidi w:val="0"/>
              <w:spacing w:before="0" w:after="0"/>
              <w:jc w:val="left"/>
              <w:rPr/>
            </w:pPr>
            <w:r>
              <w:rPr/>
              <w:t> </w:t>
            </w:r>
          </w:p>
        </w:tc>
        <w:tc>
          <w:tcPr>
            <w:tcW w:w="238" w:type="dxa"/>
            <w:tcBorders/>
            <w:shd w:fill="F2F2F2" w:val="clear"/>
            <w:vAlign w:val="center"/>
          </w:tcPr>
          <w:p>
            <w:pPr>
              <w:pStyle w:val="TableContents"/>
              <w:bidi w:val="0"/>
              <w:spacing w:before="0" w:after="0"/>
              <w:jc w:val="left"/>
              <w:rPr/>
            </w:pPr>
            <w:r>
              <w:rPr/>
              <w:t> </w:t>
            </w:r>
          </w:p>
        </w:tc>
        <w:tc>
          <w:tcPr>
            <w:tcW w:w="2750" w:type="dxa"/>
            <w:tcBorders/>
            <w:shd w:fill="F2F2F2" w:val="clear"/>
            <w:vAlign w:val="center"/>
          </w:tcPr>
          <w:p>
            <w:pPr>
              <w:pStyle w:val="TableContents"/>
              <w:bidi w:val="0"/>
              <w:spacing w:before="0" w:after="0"/>
              <w:jc w:val="left"/>
              <w:rPr/>
            </w:pPr>
            <w:r>
              <w:rPr/>
              <w:t> </w:t>
            </w:r>
          </w:p>
        </w:tc>
        <w:tc>
          <w:tcPr>
            <w:tcW w:w="238" w:type="dxa"/>
            <w:tcBorders/>
            <w:shd w:fill="F2F2F2" w:val="clear"/>
            <w:vAlign w:val="center"/>
          </w:tcPr>
          <w:p>
            <w:pPr>
              <w:pStyle w:val="TableContents"/>
              <w:bidi w:val="0"/>
              <w:spacing w:before="0" w:after="0"/>
              <w:jc w:val="left"/>
              <w:rPr/>
            </w:pPr>
            <w:r>
              <w:rPr/>
              <w:t> </w:t>
            </w:r>
          </w:p>
        </w:tc>
        <w:tc>
          <w:tcPr>
            <w:tcW w:w="238" w:type="dxa"/>
            <w:tcBorders/>
            <w:shd w:fill="F2F2F2" w:val="clear"/>
            <w:vAlign w:val="center"/>
          </w:tcPr>
          <w:p>
            <w:pPr>
              <w:pStyle w:val="TableContents"/>
              <w:bidi w:val="0"/>
              <w:spacing w:before="0" w:after="0"/>
              <w:jc w:val="left"/>
              <w:rPr/>
            </w:pPr>
            <w:r>
              <w:rPr/>
              <w:t> </w:t>
            </w:r>
          </w:p>
        </w:tc>
        <w:tc>
          <w:tcPr>
            <w:tcW w:w="2293" w:type="dxa"/>
            <w:tcBorders/>
            <w:shd w:fill="F2F2F2" w:val="clear"/>
            <w:vAlign w:val="center"/>
          </w:tcPr>
          <w:p>
            <w:pPr>
              <w:pStyle w:val="TableContents"/>
              <w:bidi w:val="0"/>
              <w:spacing w:before="0" w:after="0"/>
              <w:jc w:val="left"/>
              <w:rPr/>
            </w:pPr>
            <w:r>
              <w:rPr/>
              <w:t> </w:t>
            </w:r>
          </w:p>
        </w:tc>
        <w:tc>
          <w:tcPr>
            <w:tcW w:w="219"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806" w:type="dxa"/>
            <w:gridSpan w:val="4"/>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Nominee</w:t>
            </w:r>
          </w:p>
        </w:tc>
        <w:tc>
          <w:tcPr>
            <w:tcW w:w="23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3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750"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Career Highlights</w:t>
            </w:r>
          </w:p>
        </w:tc>
        <w:tc>
          <w:tcPr>
            <w:tcW w:w="23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3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293"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Relevant Board Skills </w:t>
            </w:r>
          </w:p>
        </w:tc>
        <w:tc>
          <w:tcPr>
            <w:tcW w:w="219"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61" w:type="dxa"/>
            <w:tcBorders>
              <w:bottom w:val="single" w:sz="8" w:space="0" w:color="000000"/>
            </w:tcBorders>
            <w:tcMar>
              <w:bottom w:w="55" w:type="dxa"/>
            </w:tcMar>
            <w:vAlign w:val="center"/>
          </w:tcPr>
          <w:p>
            <w:pPr>
              <w:pStyle w:val="TableContents"/>
              <w:bidi w:val="0"/>
              <w:spacing w:before="0" w:after="283"/>
              <w:jc w:val="center"/>
              <w:rPr>
                <w:color w:val="000000"/>
              </w:rPr>
            </w:pPr>
            <w:r>
              <w:rPr>
                <w:color w:val="000000"/>
              </w:rPr>
              <w:drawing>
                <wp:inline distT="0" distB="0" distL="0" distR="0">
                  <wp:extent cx="733425" cy="733425"/>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733425" cy="733425"/>
                          </a:xfrm>
                          <a:prstGeom prst="rect">
                            <a:avLst/>
                          </a:prstGeom>
                        </pic:spPr>
                      </pic:pic>
                    </a:graphicData>
                  </a:graphic>
                </wp:inline>
              </w:drawing>
            </w:r>
          </w:p>
          <w:p>
            <w:pPr>
              <w:pStyle w:val="TableContents"/>
              <w:bidi w:val="0"/>
              <w:spacing w:before="0" w:after="283"/>
              <w:ind w:left="35" w:right="0" w:hanging="0"/>
              <w:jc w:val="left"/>
              <w:rPr>
                <w:color w:val="000000"/>
              </w:rPr>
            </w:pPr>
            <w:r>
              <w:rPr>
                <w:color w:val="000000"/>
              </w:rPr>
              <w:t> </w:t>
            </w:r>
          </w:p>
        </w:tc>
        <w:tc>
          <w:tcPr>
            <w:tcW w:w="238" w:type="dxa"/>
            <w:tcBorders>
              <w:bottom w:val="single" w:sz="8" w:space="0" w:color="000000"/>
            </w:tcBorders>
            <w:tcMar>
              <w:bottom w:w="28" w:type="dxa"/>
            </w:tcMar>
            <w:vAlign w:val="center"/>
          </w:tcPr>
          <w:p>
            <w:pPr>
              <w:pStyle w:val="TableContents"/>
              <w:bidi w:val="0"/>
              <w:spacing w:before="0" w:after="0"/>
              <w:jc w:val="left"/>
              <w:rPr/>
            </w:pPr>
            <w:r>
              <w:rPr/>
              <w:t> </w:t>
            </w:r>
          </w:p>
        </w:tc>
        <w:tc>
          <w:tcPr>
            <w:tcW w:w="238" w:type="dxa"/>
            <w:tcBorders>
              <w:bottom w:val="single" w:sz="8" w:space="0" w:color="000000"/>
            </w:tcBorders>
            <w:tcMar>
              <w:bottom w:w="28" w:type="dxa"/>
            </w:tcMar>
            <w:vAlign w:val="center"/>
          </w:tcPr>
          <w:p>
            <w:pPr>
              <w:pStyle w:val="TableContents"/>
              <w:bidi w:val="0"/>
              <w:spacing w:before="0" w:after="0"/>
              <w:jc w:val="left"/>
              <w:rPr/>
            </w:pPr>
            <w:r>
              <w:rPr/>
              <w:t> </w:t>
            </w:r>
          </w:p>
        </w:tc>
        <w:tc>
          <w:tcPr>
            <w:tcW w:w="1669"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Darren M. Rebelez, 60</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Board Chair</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President and CEO,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Casey’s General Stores, Inc.</w:t>
            </w:r>
          </w:p>
        </w:tc>
        <w:tc>
          <w:tcPr>
            <w:tcW w:w="23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38" w:type="dxa"/>
            <w:tcBorders>
              <w:bottom w:val="single" w:sz="8" w:space="0" w:color="000000"/>
            </w:tcBorders>
            <w:tcMar>
              <w:bottom w:w="28" w:type="dxa"/>
            </w:tcMar>
            <w:vAlign w:val="center"/>
          </w:tcPr>
          <w:p>
            <w:pPr>
              <w:pStyle w:val="TableContents"/>
              <w:bidi w:val="0"/>
              <w:spacing w:before="0" w:after="0"/>
              <w:jc w:val="left"/>
              <w:rPr/>
            </w:pPr>
            <w:r>
              <w:rPr/>
              <w:t> </w:t>
            </w:r>
          </w:p>
        </w:tc>
        <w:tc>
          <w:tcPr>
            <w:tcW w:w="2750"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Casey’s General Stores,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President/CEO (2019-Present)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IHOP Restaurants (unit of Dine Brands Global)</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President (2015-2019)</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7-Eleven,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EVP/COO (2007-2014)</w:t>
            </w:r>
          </w:p>
        </w:tc>
        <w:tc>
          <w:tcPr>
            <w:tcW w:w="23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38" w:type="dxa"/>
            <w:tcBorders>
              <w:bottom w:val="single" w:sz="8" w:space="0" w:color="000000"/>
            </w:tcBorders>
            <w:tcMar>
              <w:bottom w:w="28" w:type="dxa"/>
            </w:tcMar>
            <w:vAlign w:val="center"/>
          </w:tcPr>
          <w:p>
            <w:pPr>
              <w:pStyle w:val="TableContents"/>
              <w:bidi w:val="0"/>
              <w:spacing w:before="0" w:after="0"/>
              <w:jc w:val="left"/>
              <w:rPr/>
            </w:pPr>
            <w:r>
              <w:rPr/>
              <w:t> </w:t>
            </w:r>
          </w:p>
        </w:tc>
        <w:tc>
          <w:tcPr>
            <w:tcW w:w="2293" w:type="dxa"/>
            <w:tcBorders>
              <w:bottom w:val="single" w:sz="8" w:space="0" w:color="000000"/>
            </w:tcBorders>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Public Company CEO Experience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Senior Business Operations Leadership</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Consumer Products, Retail</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Real Estate, Development, Construction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Marketing, Brand Management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M&amp;A</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Restaurant and Food Service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 xml:space="preserve">Corporate Strategy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1" w:type="dxa"/>
            <w:gridSpan w:val="10"/>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Mr. Rebelez, the Company’s President, CEO and Board Chair, brings a wealth of experience as an executive in the convenience store and restaurant industries, most recently as the President of IHOP Restaurants, a unit of Dine Brands Global, Inc., which franchises and operates restaurants under the Applebee’s and IHOP brands. Prior to joining Dine Brands, Mr. Rebelez was employed by 7-Eleven, Inc., a convenience store chain, as Executive VP and COO. Before 7-Eleven, Mr. Rebelez held numerous management roles within ExxonMobil. In 2024, Mr. Rebelez was named by CSP as its “Retailer Leader of the Year.” His wide-ranging experience enables Mr. Rebelez to provide important insights to the Board regarding operations, marketing, digital engagement, product development, management and strategic planning.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9801" w:type="dxa"/>
            <w:gridSpan w:val="10"/>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Director since</w:t>
            </w:r>
            <w:r>
              <w:rPr>
                <w:rFonts w:ascii="Times New Roman;Times;serif" w:hAnsi="Times New Roman;Times;serif"/>
                <w:b w:val="false"/>
                <w:color w:val="000000"/>
                <w:sz w:val="18"/>
              </w:rPr>
              <w:t xml:space="preserve">: 2019, </w:t>
            </w:r>
            <w:r>
              <w:rPr>
                <w:rFonts w:ascii="Times New Roman;Times;serif" w:hAnsi="Times New Roman;Times;serif"/>
                <w:b/>
                <w:color w:val="000000"/>
                <w:sz w:val="18"/>
              </w:rPr>
              <w:t>Committees</w:t>
            </w:r>
            <w:r>
              <w:rPr>
                <w:rFonts w:ascii="Times New Roman;Times;serif" w:hAnsi="Times New Roman;Times;serif"/>
                <w:b w:val="false"/>
                <w:color w:val="000000"/>
                <w:sz w:val="18"/>
              </w:rPr>
              <w:t xml:space="preserve">: None, </w:t>
            </w:r>
            <w:r>
              <w:rPr>
                <w:rFonts w:ascii="Times New Roman;Times;serif" w:hAnsi="Times New Roman;Times;serif"/>
                <w:b/>
                <w:color w:val="000000"/>
                <w:sz w:val="18"/>
              </w:rPr>
              <w:t>Other public boards</w:t>
            </w:r>
            <w:r>
              <w:rPr>
                <w:rFonts w:ascii="Times New Roman;Times;serif" w:hAnsi="Times New Roman;Times;serif"/>
                <w:b w:val="false"/>
                <w:color w:val="000000"/>
                <w:sz w:val="18"/>
              </w:rPr>
              <w:t>: Genuine Parts Company (2023-Present), Globe Life (2010-2023)</w:t>
            </w:r>
          </w:p>
        </w:tc>
        <w:tc>
          <w:tcPr>
            <w:tcW w:w="219"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801" w:type="dxa"/>
            <w:gridSpan w:val="10"/>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19"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552"/>
        <w:gridCol w:w="222"/>
        <w:gridCol w:w="222"/>
        <w:gridCol w:w="1792"/>
        <w:gridCol w:w="222"/>
        <w:gridCol w:w="222"/>
        <w:gridCol w:w="2480"/>
        <w:gridCol w:w="222"/>
        <w:gridCol w:w="222"/>
        <w:gridCol w:w="2643"/>
        <w:gridCol w:w="221"/>
      </w:tblGrid>
      <w:tr>
        <w:trPr/>
        <w:tc>
          <w:tcPr>
            <w:tcW w:w="185" w:type="dxa"/>
            <w:tcBorders/>
            <w:shd w:fill="F2F2F2" w:val="clear"/>
            <w:vAlign w:val="center"/>
          </w:tcPr>
          <w:p>
            <w:pPr>
              <w:pStyle w:val="TableContents"/>
              <w:bidi w:val="0"/>
              <w:spacing w:before="0" w:after="0"/>
              <w:jc w:val="left"/>
              <w:rPr/>
            </w:pPr>
            <w:r>
              <w:rPr/>
              <w:t> </w:t>
            </w:r>
          </w:p>
        </w:tc>
        <w:tc>
          <w:tcPr>
            <w:tcW w:w="3788" w:type="dxa"/>
            <w:gridSpan w:val="4"/>
            <w:tcBorders/>
            <w:shd w:fill="F2F2F2" w:val="clear"/>
            <w:vAlign w:val="center"/>
          </w:tcPr>
          <w:p>
            <w:pPr>
              <w:pStyle w:val="TableContents"/>
              <w:bidi w:val="0"/>
              <w:spacing w:before="0" w:after="0"/>
              <w:jc w:val="left"/>
              <w:rPr/>
            </w:pPr>
            <w:r>
              <w:rPr/>
              <w:t> </w:t>
            </w:r>
          </w:p>
        </w:tc>
        <w:tc>
          <w:tcPr>
            <w:tcW w:w="222" w:type="dxa"/>
            <w:tcBorders/>
            <w:shd w:fill="F2F2F2" w:val="clear"/>
            <w:vAlign w:val="center"/>
          </w:tcPr>
          <w:p>
            <w:pPr>
              <w:pStyle w:val="TableContents"/>
              <w:bidi w:val="0"/>
              <w:spacing w:before="0" w:after="0"/>
              <w:jc w:val="left"/>
              <w:rPr/>
            </w:pPr>
            <w:r>
              <w:rPr/>
              <w:t> </w:t>
            </w:r>
          </w:p>
        </w:tc>
        <w:tc>
          <w:tcPr>
            <w:tcW w:w="222" w:type="dxa"/>
            <w:tcBorders/>
            <w:shd w:fill="F2F2F2" w:val="clear"/>
            <w:vAlign w:val="center"/>
          </w:tcPr>
          <w:p>
            <w:pPr>
              <w:pStyle w:val="TableContents"/>
              <w:bidi w:val="0"/>
              <w:spacing w:before="0" w:after="0"/>
              <w:jc w:val="left"/>
              <w:rPr/>
            </w:pPr>
            <w:r>
              <w:rPr/>
              <w:t> </w:t>
            </w:r>
          </w:p>
        </w:tc>
        <w:tc>
          <w:tcPr>
            <w:tcW w:w="2480" w:type="dxa"/>
            <w:tcBorders/>
            <w:shd w:fill="F2F2F2" w:val="clear"/>
            <w:vAlign w:val="center"/>
          </w:tcPr>
          <w:p>
            <w:pPr>
              <w:pStyle w:val="TableContents"/>
              <w:bidi w:val="0"/>
              <w:spacing w:before="0" w:after="0"/>
              <w:jc w:val="left"/>
              <w:rPr/>
            </w:pPr>
            <w:r>
              <w:rPr/>
              <w:t> </w:t>
            </w:r>
          </w:p>
        </w:tc>
        <w:tc>
          <w:tcPr>
            <w:tcW w:w="222" w:type="dxa"/>
            <w:tcBorders/>
            <w:shd w:fill="F2F2F2" w:val="clear"/>
            <w:vAlign w:val="center"/>
          </w:tcPr>
          <w:p>
            <w:pPr>
              <w:pStyle w:val="TableContents"/>
              <w:bidi w:val="0"/>
              <w:spacing w:before="0" w:after="0"/>
              <w:jc w:val="left"/>
              <w:rPr/>
            </w:pPr>
            <w:r>
              <w:rPr/>
              <w:t> </w:t>
            </w:r>
          </w:p>
        </w:tc>
        <w:tc>
          <w:tcPr>
            <w:tcW w:w="222" w:type="dxa"/>
            <w:tcBorders/>
            <w:shd w:fill="F2F2F2" w:val="clear"/>
            <w:vAlign w:val="center"/>
          </w:tcPr>
          <w:p>
            <w:pPr>
              <w:pStyle w:val="TableContents"/>
              <w:bidi w:val="0"/>
              <w:spacing w:before="0" w:after="0"/>
              <w:jc w:val="left"/>
              <w:rPr/>
            </w:pPr>
            <w:r>
              <w:rPr/>
              <w:t> </w:t>
            </w:r>
          </w:p>
        </w:tc>
        <w:tc>
          <w:tcPr>
            <w:tcW w:w="2643" w:type="dxa"/>
            <w:tcBorders/>
            <w:shd w:fill="F2F2F2" w:val="clear"/>
            <w:vAlign w:val="center"/>
          </w:tcPr>
          <w:p>
            <w:pPr>
              <w:pStyle w:val="TableContents"/>
              <w:bidi w:val="0"/>
              <w:spacing w:before="0" w:after="0"/>
              <w:jc w:val="left"/>
              <w:rPr/>
            </w:pPr>
            <w:r>
              <w:rPr/>
              <w:t> </w:t>
            </w:r>
          </w:p>
        </w:tc>
        <w:tc>
          <w:tcPr>
            <w:tcW w:w="221"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788" w:type="dxa"/>
            <w:gridSpan w:val="4"/>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Nominee</w:t>
            </w:r>
          </w:p>
        </w:tc>
        <w:tc>
          <w:tcPr>
            <w:tcW w:w="222"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22"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480"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Career Highlights</w:t>
            </w:r>
          </w:p>
        </w:tc>
        <w:tc>
          <w:tcPr>
            <w:tcW w:w="222"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22"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643"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Relevant Board Skills </w:t>
            </w:r>
          </w:p>
        </w:tc>
        <w:tc>
          <w:tcPr>
            <w:tcW w:w="221"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52" w:type="dxa"/>
            <w:tcBorders>
              <w:bottom w:val="single" w:sz="8" w:space="0" w:color="000000"/>
            </w:tcBorders>
            <w:tcMar>
              <w:bottom w:w="55" w:type="dxa"/>
            </w:tcMar>
            <w:vAlign w:val="center"/>
          </w:tcPr>
          <w:p>
            <w:pPr>
              <w:pStyle w:val="TableContents"/>
              <w:bidi w:val="0"/>
              <w:spacing w:before="0" w:after="283"/>
              <w:jc w:val="center"/>
              <w:rPr>
                <w:color w:val="000000"/>
              </w:rPr>
            </w:pPr>
            <w:r>
              <w:rPr>
                <w:color w:val="000000"/>
              </w:rPr>
              <w:drawing>
                <wp:inline distT="0" distB="0" distL="0" distR="0">
                  <wp:extent cx="733425" cy="733425"/>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733425" cy="733425"/>
                          </a:xfrm>
                          <a:prstGeom prst="rect">
                            <a:avLst/>
                          </a:prstGeom>
                        </pic:spPr>
                      </pic:pic>
                    </a:graphicData>
                  </a:graphic>
                </wp:inline>
              </w:drawing>
            </w:r>
          </w:p>
          <w:p>
            <w:pPr>
              <w:pStyle w:val="TableContents"/>
              <w:bidi w:val="0"/>
              <w:spacing w:before="0" w:after="283"/>
              <w:ind w:left="35" w:right="0" w:hanging="0"/>
              <w:jc w:val="left"/>
              <w:rPr>
                <w:color w:val="000000"/>
              </w:rPr>
            </w:pPr>
            <w:r>
              <w:rPr>
                <w:color w:val="000000"/>
              </w:rPr>
              <w:t> </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c>
          <w:tcPr>
            <w:tcW w:w="1792"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Judy A. Schmeling, 66 (I)</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Lead Independent Director</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Former COO, HSN, Inc.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and Former President,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Cornerstone Brands</w:t>
            </w:r>
          </w:p>
        </w:tc>
        <w:tc>
          <w:tcPr>
            <w:tcW w:w="222"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c>
          <w:tcPr>
            <w:tcW w:w="2480"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HSN,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COO (2013-2017)</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EVP/CFO (2008-2017)</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EVP/CFO (2002-2008; when known as IAC Retailing)</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Financial/leadership positions (1994-2002)</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Cornerstone Brands (a division of HSN)</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President (2016-2017)</w:t>
            </w:r>
          </w:p>
        </w:tc>
        <w:tc>
          <w:tcPr>
            <w:tcW w:w="222"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c>
          <w:tcPr>
            <w:tcW w:w="2643" w:type="dxa"/>
            <w:tcBorders>
              <w:bottom w:val="single" w:sz="8" w:space="0" w:color="000000"/>
            </w:tcBorders>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Senior Business Operations Leadership</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Consumer Products, Retail</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Digital Marketing, E-Commerce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Capital Markets, Investment Banking, Asset Management, IR</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M&amp;A</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Finance, Accounting, Financial Reporting</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Risk Management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 xml:space="preserve">Corporate Strategy </w:t>
            </w:r>
          </w:p>
        </w:tc>
        <w:tc>
          <w:tcPr>
            <w:tcW w:w="221"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799" w:type="dxa"/>
            <w:gridSpan w:val="10"/>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Ms. Schmeling, the Company’s Lead Independent Director, is a seasoned executive, bringing over 20 years of financial, operational and leadership experience with her from HSN, a leading interactive multichannel retailer and the first television shopping network. She has also served in various roles through multiple corporate transitions, including the spin-off of HSN from IAC and HSN’s integration of additional businesses. Throughout her career as an executive and a director at other public companies, Ms. Schmeling has been at the forefront of new and emerging industries and has developed extensive expertise in accounting/finance, and has significant experience with operations, treasury functions, tax, investor relations and corporate strategy. Ms. Schmeling was also named to the 2020 NACD Directorship 100, a list of directors who promote exemplary board leadership and oversight. </w:t>
            </w:r>
          </w:p>
        </w:tc>
        <w:tc>
          <w:tcPr>
            <w:tcW w:w="221"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9799" w:type="dxa"/>
            <w:gridSpan w:val="10"/>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Director since</w:t>
            </w:r>
            <w:r>
              <w:rPr>
                <w:rFonts w:ascii="Times New Roman;Times;serif" w:hAnsi="Times New Roman;Times;serif"/>
                <w:b w:val="false"/>
                <w:color w:val="000000"/>
                <w:sz w:val="18"/>
              </w:rPr>
              <w:t xml:space="preserve">: 2018, </w:t>
            </w:r>
            <w:r>
              <w:rPr>
                <w:rFonts w:ascii="Times New Roman;Times;serif" w:hAnsi="Times New Roman;Times;serif"/>
                <w:b/>
                <w:color w:val="000000"/>
                <w:sz w:val="18"/>
              </w:rPr>
              <w:t>Committees</w:t>
            </w:r>
            <w:r>
              <w:rPr>
                <w:rFonts w:ascii="Times New Roman;Times;serif" w:hAnsi="Times New Roman;Times;serif"/>
                <w:b w:val="false"/>
                <w:color w:val="000000"/>
                <w:sz w:val="18"/>
              </w:rPr>
              <w:t xml:space="preserve">: NCG, </w:t>
            </w:r>
            <w:r>
              <w:rPr>
                <w:rFonts w:ascii="Times New Roman;Times;serif" w:hAnsi="Times New Roman;Times;serif"/>
                <w:b/>
                <w:color w:val="000000"/>
                <w:sz w:val="18"/>
              </w:rPr>
              <w:t>Other public boards</w:t>
            </w:r>
            <w:r>
              <w:rPr>
                <w:rFonts w:ascii="Times New Roman;Times;serif" w:hAnsi="Times New Roman;Times;serif"/>
                <w:b w:val="false"/>
                <w:color w:val="000000"/>
                <w:sz w:val="18"/>
              </w:rPr>
              <w:t>: Constellation Brands, Inc. (2013-2024), Canopy Growth Corp. (2018-2024)</w:t>
            </w:r>
          </w:p>
        </w:tc>
        <w:tc>
          <w:tcPr>
            <w:tcW w:w="221"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799" w:type="dxa"/>
            <w:gridSpan w:val="10"/>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21"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3" w:name="ny20072699x1_def14a_105-prop1_pg5"/>
        <w:bookmarkEnd w:id="3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416"/>
        <w:gridCol w:w="203"/>
        <w:gridCol w:w="203"/>
        <w:gridCol w:w="1353"/>
        <w:gridCol w:w="203"/>
        <w:gridCol w:w="203"/>
        <w:gridCol w:w="4307"/>
        <w:gridCol w:w="203"/>
        <w:gridCol w:w="203"/>
        <w:gridCol w:w="1508"/>
        <w:gridCol w:w="218"/>
      </w:tblGrid>
      <w:tr>
        <w:trPr/>
        <w:tc>
          <w:tcPr>
            <w:tcW w:w="185" w:type="dxa"/>
            <w:tcBorders/>
            <w:shd w:fill="F2F2F2" w:val="clear"/>
            <w:vAlign w:val="center"/>
          </w:tcPr>
          <w:p>
            <w:pPr>
              <w:pStyle w:val="TableContents"/>
              <w:bidi w:val="0"/>
              <w:spacing w:before="0" w:after="0"/>
              <w:jc w:val="left"/>
              <w:rPr/>
            </w:pPr>
            <w:r>
              <w:rPr/>
              <w:t> </w:t>
            </w:r>
          </w:p>
        </w:tc>
        <w:tc>
          <w:tcPr>
            <w:tcW w:w="3175" w:type="dxa"/>
            <w:gridSpan w:val="4"/>
            <w:tcBorders/>
            <w:shd w:fill="F2F2F2" w:val="clear"/>
            <w:vAlign w:val="center"/>
          </w:tcPr>
          <w:p>
            <w:pPr>
              <w:pStyle w:val="TableContents"/>
              <w:bidi w:val="0"/>
              <w:spacing w:before="0" w:after="0"/>
              <w:jc w:val="left"/>
              <w:rPr/>
            </w:pPr>
            <w:r>
              <w:rPr/>
              <w:t> </w:t>
            </w:r>
          </w:p>
        </w:tc>
        <w:tc>
          <w:tcPr>
            <w:tcW w:w="203" w:type="dxa"/>
            <w:tcBorders/>
            <w:shd w:fill="F2F2F2" w:val="clear"/>
            <w:vAlign w:val="center"/>
          </w:tcPr>
          <w:p>
            <w:pPr>
              <w:pStyle w:val="TableContents"/>
              <w:bidi w:val="0"/>
              <w:spacing w:before="0" w:after="0"/>
              <w:jc w:val="left"/>
              <w:rPr/>
            </w:pPr>
            <w:r>
              <w:rPr/>
              <w:t> </w:t>
            </w:r>
          </w:p>
        </w:tc>
        <w:tc>
          <w:tcPr>
            <w:tcW w:w="203" w:type="dxa"/>
            <w:tcBorders/>
            <w:shd w:fill="F2F2F2" w:val="clear"/>
            <w:vAlign w:val="center"/>
          </w:tcPr>
          <w:p>
            <w:pPr>
              <w:pStyle w:val="TableContents"/>
              <w:bidi w:val="0"/>
              <w:spacing w:before="0" w:after="0"/>
              <w:jc w:val="left"/>
              <w:rPr/>
            </w:pPr>
            <w:r>
              <w:rPr/>
              <w:t> </w:t>
            </w:r>
          </w:p>
        </w:tc>
        <w:tc>
          <w:tcPr>
            <w:tcW w:w="4307" w:type="dxa"/>
            <w:tcBorders/>
            <w:shd w:fill="F2F2F2" w:val="clear"/>
            <w:vAlign w:val="center"/>
          </w:tcPr>
          <w:p>
            <w:pPr>
              <w:pStyle w:val="TableContents"/>
              <w:bidi w:val="0"/>
              <w:spacing w:before="0" w:after="0"/>
              <w:jc w:val="left"/>
              <w:rPr/>
            </w:pPr>
            <w:r>
              <w:rPr/>
              <w:t> </w:t>
            </w:r>
          </w:p>
        </w:tc>
        <w:tc>
          <w:tcPr>
            <w:tcW w:w="203" w:type="dxa"/>
            <w:tcBorders/>
            <w:shd w:fill="F2F2F2" w:val="clear"/>
            <w:vAlign w:val="center"/>
          </w:tcPr>
          <w:p>
            <w:pPr>
              <w:pStyle w:val="TableContents"/>
              <w:bidi w:val="0"/>
              <w:spacing w:before="0" w:after="0"/>
              <w:jc w:val="left"/>
              <w:rPr/>
            </w:pPr>
            <w:r>
              <w:rPr/>
              <w:t> </w:t>
            </w:r>
          </w:p>
        </w:tc>
        <w:tc>
          <w:tcPr>
            <w:tcW w:w="203" w:type="dxa"/>
            <w:tcBorders/>
            <w:shd w:fill="F2F2F2" w:val="clear"/>
            <w:vAlign w:val="center"/>
          </w:tcPr>
          <w:p>
            <w:pPr>
              <w:pStyle w:val="TableContents"/>
              <w:bidi w:val="0"/>
              <w:spacing w:before="0" w:after="0"/>
              <w:jc w:val="left"/>
              <w:rPr/>
            </w:pPr>
            <w:r>
              <w:rPr/>
              <w:t> </w:t>
            </w:r>
          </w:p>
        </w:tc>
        <w:tc>
          <w:tcPr>
            <w:tcW w:w="1508" w:type="dxa"/>
            <w:tcBorders/>
            <w:shd w:fill="F2F2F2" w:val="clear"/>
            <w:vAlign w:val="center"/>
          </w:tcPr>
          <w:p>
            <w:pPr>
              <w:pStyle w:val="TableContents"/>
              <w:bidi w:val="0"/>
              <w:spacing w:before="0" w:after="0"/>
              <w:jc w:val="left"/>
              <w:rPr/>
            </w:pPr>
            <w:r>
              <w:rPr/>
              <w:t> </w:t>
            </w:r>
          </w:p>
        </w:tc>
        <w:tc>
          <w:tcPr>
            <w:tcW w:w="218"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175" w:type="dxa"/>
            <w:gridSpan w:val="4"/>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Nominee</w:t>
            </w:r>
          </w:p>
        </w:tc>
        <w:tc>
          <w:tcPr>
            <w:tcW w:w="203"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03"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4307"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Career Highlights</w:t>
            </w:r>
          </w:p>
        </w:tc>
        <w:tc>
          <w:tcPr>
            <w:tcW w:w="203"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03"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508"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Relevant Board Skills </w:t>
            </w:r>
          </w:p>
        </w:tc>
        <w:tc>
          <w:tcPr>
            <w:tcW w:w="21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16" w:type="dxa"/>
            <w:tcBorders>
              <w:bottom w:val="single" w:sz="8" w:space="0" w:color="000000"/>
            </w:tcBorders>
            <w:tcMar>
              <w:bottom w:w="55" w:type="dxa"/>
            </w:tcMar>
            <w:vAlign w:val="center"/>
          </w:tcPr>
          <w:p>
            <w:pPr>
              <w:pStyle w:val="TableContents"/>
              <w:bidi w:val="0"/>
              <w:spacing w:before="0" w:after="283"/>
              <w:jc w:val="center"/>
              <w:rPr>
                <w:color w:val="000000"/>
              </w:rPr>
            </w:pPr>
            <w:r>
              <w:rPr>
                <w:color w:val="000000"/>
              </w:rPr>
              <w:drawing>
                <wp:inline distT="0" distB="0" distL="0" distR="0">
                  <wp:extent cx="733425" cy="733425"/>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733425" cy="733425"/>
                          </a:xfrm>
                          <a:prstGeom prst="rect">
                            <a:avLst/>
                          </a:prstGeom>
                        </pic:spPr>
                      </pic:pic>
                    </a:graphicData>
                  </a:graphic>
                </wp:inline>
              </w:drawing>
            </w:r>
          </w:p>
          <w:p>
            <w:pPr>
              <w:pStyle w:val="TableContents"/>
              <w:bidi w:val="0"/>
              <w:spacing w:before="0" w:after="283"/>
              <w:ind w:left="35" w:right="0" w:hanging="0"/>
              <w:jc w:val="left"/>
              <w:rPr>
                <w:color w:val="000000"/>
              </w:rPr>
            </w:pPr>
            <w:r>
              <w:rPr>
                <w:color w:val="000000"/>
              </w:rPr>
              <w:t> </w:t>
            </w:r>
          </w:p>
        </w:tc>
        <w:tc>
          <w:tcPr>
            <w:tcW w:w="203" w:type="dxa"/>
            <w:tcBorders>
              <w:bottom w:val="single" w:sz="8" w:space="0" w:color="000000"/>
            </w:tcBorders>
            <w:tcMar>
              <w:bottom w:w="28" w:type="dxa"/>
            </w:tcMar>
            <w:vAlign w:val="center"/>
          </w:tcPr>
          <w:p>
            <w:pPr>
              <w:pStyle w:val="TableContents"/>
              <w:bidi w:val="0"/>
              <w:spacing w:before="0" w:after="0"/>
              <w:jc w:val="left"/>
              <w:rPr/>
            </w:pPr>
            <w:r>
              <w:rPr/>
              <w:t> </w:t>
            </w:r>
          </w:p>
        </w:tc>
        <w:tc>
          <w:tcPr>
            <w:tcW w:w="203" w:type="dxa"/>
            <w:tcBorders>
              <w:bottom w:val="single" w:sz="8" w:space="0" w:color="000000"/>
            </w:tcBorders>
            <w:tcMar>
              <w:bottom w:w="28" w:type="dxa"/>
            </w:tcMar>
            <w:vAlign w:val="center"/>
          </w:tcPr>
          <w:p>
            <w:pPr>
              <w:pStyle w:val="TableContents"/>
              <w:bidi w:val="0"/>
              <w:spacing w:before="0" w:after="0"/>
              <w:jc w:val="left"/>
              <w:rPr/>
            </w:pPr>
            <w:r>
              <w:rPr/>
              <w:t> </w:t>
            </w:r>
          </w:p>
        </w:tc>
        <w:tc>
          <w:tcPr>
            <w:tcW w:w="1353"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Sri Donthi, 59 (I)</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Chief Information Officer,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Ralph Lauren Corporation</w:t>
            </w:r>
          </w:p>
        </w:tc>
        <w:tc>
          <w:tcPr>
            <w:tcW w:w="203"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03" w:type="dxa"/>
            <w:tcBorders>
              <w:bottom w:val="single" w:sz="8" w:space="0" w:color="000000"/>
            </w:tcBorders>
            <w:tcMar>
              <w:bottom w:w="28" w:type="dxa"/>
            </w:tcMar>
            <w:vAlign w:val="center"/>
          </w:tcPr>
          <w:p>
            <w:pPr>
              <w:pStyle w:val="TableContents"/>
              <w:bidi w:val="0"/>
              <w:spacing w:before="0" w:after="0"/>
              <w:jc w:val="left"/>
              <w:rPr/>
            </w:pPr>
            <w:r>
              <w:rPr/>
              <w:t> </w:t>
            </w:r>
          </w:p>
        </w:tc>
        <w:tc>
          <w:tcPr>
            <w:tcW w:w="4307"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Ralph Lauren Corporation</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CIO (2025-Present)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Advance Auto Parts,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EVP, CTO (2018-2025)</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PepsiCo,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SVP/CIO, Frito-Lay, Global e-Commerce (2017-2018), AMENA, Global e-Commerce (2014-2017), Corporate Functions, Global Groups and Technology Services (2011-2014)</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CIO, PepsiCo Int’l Transformation (2008-2011)</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Global CTO (2006-2008)</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VP, Global Infrastructure Management (2004-2006)</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Motorola Information Technology</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Management/leadership positions (1994-2004)</w:t>
            </w:r>
          </w:p>
        </w:tc>
        <w:tc>
          <w:tcPr>
            <w:tcW w:w="203"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03" w:type="dxa"/>
            <w:tcBorders>
              <w:bottom w:val="single" w:sz="8" w:space="0" w:color="000000"/>
            </w:tcBorders>
            <w:tcMar>
              <w:bottom w:w="28" w:type="dxa"/>
            </w:tcMar>
            <w:vAlign w:val="center"/>
          </w:tcPr>
          <w:p>
            <w:pPr>
              <w:pStyle w:val="TableContents"/>
              <w:bidi w:val="0"/>
              <w:spacing w:before="0" w:after="0"/>
              <w:jc w:val="left"/>
              <w:rPr/>
            </w:pPr>
            <w:r>
              <w:rPr/>
              <w:t> </w:t>
            </w:r>
          </w:p>
        </w:tc>
        <w:tc>
          <w:tcPr>
            <w:tcW w:w="1508" w:type="dxa"/>
            <w:tcBorders>
              <w:bottom w:val="single" w:sz="8" w:space="0" w:color="000000"/>
            </w:tcBorders>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Senior Business Operations Leadership</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Consumer Products, Retail</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Digital Marketing, E-Commerce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IT, Security</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 xml:space="preserve">Corporate Strategy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2" w:type="dxa"/>
            <w:gridSpan w:val="10"/>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Mr. Donthi is a seasoned technology executive, bringing more than 23 years of experience leading and developing technology functions and IT infrastructure, and overseeing cybersecurity programs, in the retail and consumer products industries. He is currently serving as CIO for Ralph Lauren Corporation, a global leader in the design, marketing and distribution of luxury lifestyle products, where he is responsible for its overall technology strategy and transformation. Prior to joining Ralph Lauren Corporation, Mr. Donthi served as Executive VP, Chief Technology Officer of Advance Auto Parts, Inc. a leading automotive aftermarket parts provider, since 2018, where he was responsible for its overall IT organization, technology platforms and related strategic initiatives. Previously, he worked at PepsiCo, Inc. for 14 years in a number of leadership roles, most recently as SVP, CIO – Frito-Lay where his team led a comprehensive effort to digitize their core business, and SVP, CIO – PepsiCo Asia, Middle East and North Africa, where he was responsible for all IT-related services. Before PepsiCo, Mr. Donthi spent 10 years at Motorola in various IT leadership and operational roles.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9802" w:type="dxa"/>
            <w:gridSpan w:val="10"/>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Director since</w:t>
            </w:r>
            <w:r>
              <w:rPr>
                <w:rFonts w:ascii="Times New Roman;Times;serif" w:hAnsi="Times New Roman;Times;serif"/>
                <w:b w:val="false"/>
                <w:color w:val="000000"/>
                <w:sz w:val="18"/>
              </w:rPr>
              <w:t xml:space="preserve">: 2022, </w:t>
            </w:r>
            <w:r>
              <w:rPr>
                <w:rFonts w:ascii="Times New Roman;Times;serif" w:hAnsi="Times New Roman;Times;serif"/>
                <w:b/>
                <w:color w:val="000000"/>
                <w:sz w:val="18"/>
              </w:rPr>
              <w:t>Committees</w:t>
            </w:r>
            <w:r>
              <w:rPr>
                <w:rFonts w:ascii="Times New Roman;Times;serif" w:hAnsi="Times New Roman;Times;serif"/>
                <w:b w:val="false"/>
                <w:color w:val="000000"/>
                <w:sz w:val="18"/>
              </w:rPr>
              <w:t xml:space="preserve">: Audit, </w:t>
            </w:r>
            <w:r>
              <w:rPr>
                <w:rFonts w:ascii="Times New Roman;Times;serif" w:hAnsi="Times New Roman;Times;serif"/>
                <w:b/>
                <w:color w:val="000000"/>
                <w:sz w:val="18"/>
              </w:rPr>
              <w:t>Other public boards</w:t>
            </w:r>
            <w:r>
              <w:rPr>
                <w:rFonts w:ascii="Times New Roman;Times;serif" w:hAnsi="Times New Roman;Times;serif"/>
                <w:b w:val="false"/>
                <w:color w:val="000000"/>
                <w:sz w:val="18"/>
              </w:rPr>
              <w:t>: None</w:t>
            </w:r>
          </w:p>
        </w:tc>
        <w:tc>
          <w:tcPr>
            <w:tcW w:w="218"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802" w:type="dxa"/>
            <w:gridSpan w:val="10"/>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1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638"/>
        <w:gridCol w:w="234"/>
        <w:gridCol w:w="234"/>
        <w:gridCol w:w="1741"/>
        <w:gridCol w:w="234"/>
        <w:gridCol w:w="234"/>
        <w:gridCol w:w="2889"/>
        <w:gridCol w:w="234"/>
        <w:gridCol w:w="234"/>
        <w:gridCol w:w="2126"/>
        <w:gridCol w:w="222"/>
      </w:tblGrid>
      <w:tr>
        <w:trPr/>
        <w:tc>
          <w:tcPr>
            <w:tcW w:w="185" w:type="dxa"/>
            <w:tcBorders/>
            <w:shd w:fill="F2F2F2" w:val="clear"/>
            <w:vAlign w:val="center"/>
          </w:tcPr>
          <w:p>
            <w:pPr>
              <w:pStyle w:val="TableContents"/>
              <w:bidi w:val="0"/>
              <w:spacing w:before="0" w:after="0"/>
              <w:jc w:val="left"/>
              <w:rPr/>
            </w:pPr>
            <w:r>
              <w:rPr/>
              <w:t> </w:t>
            </w:r>
          </w:p>
        </w:tc>
        <w:tc>
          <w:tcPr>
            <w:tcW w:w="3847" w:type="dxa"/>
            <w:gridSpan w:val="4"/>
            <w:tcBorders/>
            <w:shd w:fill="F2F2F2" w:val="clear"/>
            <w:vAlign w:val="center"/>
          </w:tcPr>
          <w:p>
            <w:pPr>
              <w:pStyle w:val="TableContents"/>
              <w:bidi w:val="0"/>
              <w:spacing w:before="0" w:after="0"/>
              <w:jc w:val="left"/>
              <w:rPr/>
            </w:pPr>
            <w:r>
              <w:rPr/>
              <w:t> </w:t>
            </w:r>
          </w:p>
        </w:tc>
        <w:tc>
          <w:tcPr>
            <w:tcW w:w="234" w:type="dxa"/>
            <w:tcBorders/>
            <w:shd w:fill="F2F2F2" w:val="clear"/>
            <w:vAlign w:val="center"/>
          </w:tcPr>
          <w:p>
            <w:pPr>
              <w:pStyle w:val="TableContents"/>
              <w:bidi w:val="0"/>
              <w:spacing w:before="0" w:after="0"/>
              <w:jc w:val="left"/>
              <w:rPr/>
            </w:pPr>
            <w:r>
              <w:rPr/>
              <w:t> </w:t>
            </w:r>
          </w:p>
        </w:tc>
        <w:tc>
          <w:tcPr>
            <w:tcW w:w="234" w:type="dxa"/>
            <w:tcBorders/>
            <w:shd w:fill="F2F2F2" w:val="clear"/>
            <w:vAlign w:val="center"/>
          </w:tcPr>
          <w:p>
            <w:pPr>
              <w:pStyle w:val="TableContents"/>
              <w:bidi w:val="0"/>
              <w:spacing w:before="0" w:after="0"/>
              <w:jc w:val="left"/>
              <w:rPr/>
            </w:pPr>
            <w:r>
              <w:rPr/>
              <w:t> </w:t>
            </w:r>
          </w:p>
        </w:tc>
        <w:tc>
          <w:tcPr>
            <w:tcW w:w="2889" w:type="dxa"/>
            <w:tcBorders/>
            <w:shd w:fill="F2F2F2" w:val="clear"/>
            <w:vAlign w:val="center"/>
          </w:tcPr>
          <w:p>
            <w:pPr>
              <w:pStyle w:val="TableContents"/>
              <w:bidi w:val="0"/>
              <w:spacing w:before="0" w:after="0"/>
              <w:jc w:val="left"/>
              <w:rPr/>
            </w:pPr>
            <w:r>
              <w:rPr/>
              <w:t> </w:t>
            </w:r>
          </w:p>
        </w:tc>
        <w:tc>
          <w:tcPr>
            <w:tcW w:w="234" w:type="dxa"/>
            <w:tcBorders/>
            <w:shd w:fill="F2F2F2" w:val="clear"/>
            <w:vAlign w:val="center"/>
          </w:tcPr>
          <w:p>
            <w:pPr>
              <w:pStyle w:val="TableContents"/>
              <w:bidi w:val="0"/>
              <w:spacing w:before="0" w:after="0"/>
              <w:jc w:val="left"/>
              <w:rPr/>
            </w:pPr>
            <w:r>
              <w:rPr/>
              <w:t> </w:t>
            </w:r>
          </w:p>
        </w:tc>
        <w:tc>
          <w:tcPr>
            <w:tcW w:w="234" w:type="dxa"/>
            <w:tcBorders/>
            <w:shd w:fill="F2F2F2" w:val="clear"/>
            <w:vAlign w:val="center"/>
          </w:tcPr>
          <w:p>
            <w:pPr>
              <w:pStyle w:val="TableContents"/>
              <w:bidi w:val="0"/>
              <w:spacing w:before="0" w:after="0"/>
              <w:jc w:val="left"/>
              <w:rPr/>
            </w:pPr>
            <w:r>
              <w:rPr/>
              <w:t> </w:t>
            </w:r>
          </w:p>
        </w:tc>
        <w:tc>
          <w:tcPr>
            <w:tcW w:w="2126" w:type="dxa"/>
            <w:tcBorders/>
            <w:shd w:fill="F2F2F2" w:val="clear"/>
            <w:vAlign w:val="center"/>
          </w:tcPr>
          <w:p>
            <w:pPr>
              <w:pStyle w:val="TableContents"/>
              <w:bidi w:val="0"/>
              <w:spacing w:before="0" w:after="0"/>
              <w:jc w:val="left"/>
              <w:rPr/>
            </w:pPr>
            <w:r>
              <w:rPr/>
              <w:t> </w:t>
            </w:r>
          </w:p>
        </w:tc>
        <w:tc>
          <w:tcPr>
            <w:tcW w:w="222"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847" w:type="dxa"/>
            <w:gridSpan w:val="4"/>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Nominee</w:t>
            </w:r>
          </w:p>
        </w:tc>
        <w:tc>
          <w:tcPr>
            <w:tcW w:w="234"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34"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889"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Career Highlights</w:t>
            </w:r>
          </w:p>
        </w:tc>
        <w:tc>
          <w:tcPr>
            <w:tcW w:w="234"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34"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126"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Relevant Board Skills </w:t>
            </w:r>
          </w:p>
        </w:tc>
        <w:tc>
          <w:tcPr>
            <w:tcW w:w="222"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38" w:type="dxa"/>
            <w:tcBorders>
              <w:bottom w:val="single" w:sz="8" w:space="0" w:color="000000"/>
            </w:tcBorders>
            <w:tcMar>
              <w:bottom w:w="55" w:type="dxa"/>
            </w:tcMar>
            <w:vAlign w:val="center"/>
          </w:tcPr>
          <w:p>
            <w:pPr>
              <w:pStyle w:val="TableContents"/>
              <w:bidi w:val="0"/>
              <w:spacing w:before="0" w:after="283"/>
              <w:jc w:val="center"/>
              <w:rPr>
                <w:color w:val="000000"/>
              </w:rPr>
            </w:pPr>
            <w:r>
              <w:rPr>
                <w:color w:val="000000"/>
              </w:rPr>
              <w:drawing>
                <wp:inline distT="0" distB="0" distL="0" distR="0">
                  <wp:extent cx="733425" cy="733425"/>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733425" cy="733425"/>
                          </a:xfrm>
                          <a:prstGeom prst="rect">
                            <a:avLst/>
                          </a:prstGeom>
                        </pic:spPr>
                      </pic:pic>
                    </a:graphicData>
                  </a:graphic>
                </wp:inline>
              </w:drawing>
            </w:r>
          </w:p>
          <w:p>
            <w:pPr>
              <w:pStyle w:val="TableContents"/>
              <w:bidi w:val="0"/>
              <w:spacing w:before="0" w:after="283"/>
              <w:ind w:left="35" w:right="0" w:hanging="0"/>
              <w:jc w:val="left"/>
              <w:rPr>
                <w:color w:val="000000"/>
              </w:rPr>
            </w:pPr>
            <w:r>
              <w:rPr>
                <w:color w:val="000000"/>
              </w:rPr>
              <w:t> </w:t>
            </w:r>
          </w:p>
        </w:tc>
        <w:tc>
          <w:tcPr>
            <w:tcW w:w="234" w:type="dxa"/>
            <w:tcBorders>
              <w:bottom w:val="single" w:sz="8" w:space="0" w:color="000000"/>
            </w:tcBorders>
            <w:tcMar>
              <w:bottom w:w="28" w:type="dxa"/>
            </w:tcMar>
            <w:vAlign w:val="center"/>
          </w:tcPr>
          <w:p>
            <w:pPr>
              <w:pStyle w:val="TableContents"/>
              <w:bidi w:val="0"/>
              <w:spacing w:before="0" w:after="0"/>
              <w:jc w:val="left"/>
              <w:rPr/>
            </w:pPr>
            <w:r>
              <w:rPr/>
              <w:t> </w:t>
            </w:r>
          </w:p>
        </w:tc>
        <w:tc>
          <w:tcPr>
            <w:tcW w:w="234" w:type="dxa"/>
            <w:tcBorders>
              <w:bottom w:val="single" w:sz="8" w:space="0" w:color="000000"/>
            </w:tcBorders>
            <w:tcMar>
              <w:bottom w:w="28" w:type="dxa"/>
            </w:tcMar>
            <w:vAlign w:val="center"/>
          </w:tcPr>
          <w:p>
            <w:pPr>
              <w:pStyle w:val="TableContents"/>
              <w:bidi w:val="0"/>
              <w:spacing w:before="0" w:after="0"/>
              <w:jc w:val="left"/>
              <w:rPr/>
            </w:pPr>
            <w:r>
              <w:rPr/>
              <w:t> </w:t>
            </w:r>
          </w:p>
        </w:tc>
        <w:tc>
          <w:tcPr>
            <w:tcW w:w="1741"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Donald E. Frieson, 68 (I)</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Retired Executive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Vice President,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Supply Chain,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Lowe’s Companies, Inc.</w:t>
            </w:r>
          </w:p>
        </w:tc>
        <w:tc>
          <w:tcPr>
            <w:tcW w:w="234"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34" w:type="dxa"/>
            <w:tcBorders>
              <w:bottom w:val="single" w:sz="8" w:space="0" w:color="000000"/>
            </w:tcBorders>
            <w:tcMar>
              <w:bottom w:w="28" w:type="dxa"/>
            </w:tcMar>
            <w:vAlign w:val="center"/>
          </w:tcPr>
          <w:p>
            <w:pPr>
              <w:pStyle w:val="TableContents"/>
              <w:bidi w:val="0"/>
              <w:spacing w:before="0" w:after="0"/>
              <w:jc w:val="left"/>
              <w:rPr/>
            </w:pPr>
            <w:r>
              <w:rPr/>
              <w:t> </w:t>
            </w:r>
          </w:p>
        </w:tc>
        <w:tc>
          <w:tcPr>
            <w:tcW w:w="2889"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Lowe’s Companies,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EVP, Supply Chain (2018-2024)</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Sam’s Club (division of Walmart)</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EVP, Operations (2014-2017)</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SVP, Replenishment, Planning &amp; Real Estate (2012-2014)</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Massmart Holdings (subsidiary of Walmart)</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Chief Integration Officer (2011-2012)</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Walmart,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SVP, Supply Chain Eastern U.S. (2010)</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President, Central Division (2007-2010)</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Operational/management positions (1999-2007)</w:t>
            </w:r>
          </w:p>
        </w:tc>
        <w:tc>
          <w:tcPr>
            <w:tcW w:w="234"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34" w:type="dxa"/>
            <w:tcBorders>
              <w:bottom w:val="single" w:sz="8" w:space="0" w:color="000000"/>
            </w:tcBorders>
            <w:tcMar>
              <w:bottom w:w="28" w:type="dxa"/>
            </w:tcMar>
            <w:vAlign w:val="center"/>
          </w:tcPr>
          <w:p>
            <w:pPr>
              <w:pStyle w:val="TableContents"/>
              <w:bidi w:val="0"/>
              <w:spacing w:before="0" w:after="0"/>
              <w:jc w:val="left"/>
              <w:rPr/>
            </w:pPr>
            <w:r>
              <w:rPr/>
              <w:t> </w:t>
            </w:r>
          </w:p>
        </w:tc>
        <w:tc>
          <w:tcPr>
            <w:tcW w:w="2126" w:type="dxa"/>
            <w:tcBorders>
              <w:bottom w:val="single" w:sz="8" w:space="0" w:color="000000"/>
            </w:tcBorders>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Senior Business Operations Leadership</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Consumer Products, Retail</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Real Estate, Development, Construction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Supply Chain, Logistics, Distribution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 xml:space="preserve">Corporate Strategy </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798" w:type="dxa"/>
            <w:gridSpan w:val="10"/>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Mr. Frieson has over 30 years of sophisticated operations, logistics and supply chain experience, most recently as Executive VP, Supply Chain, of Lowe’s Companies, Inc., the world’s second largest home improvement retailer, where, prior to his retirement in 2024, he was responsible for its distribution centers, logistics, replenishment and planning, transportation and delivery services. Previously, he spent 19 years within the Walmart organization where he was Executive VP of Operations at Sam’s Club, responsible for all club operations, including supply chain, for more than 650 locations in the U.S. and Puerto Rico, and Senior VP of Supply Chain, where he led more than 30 distribution centers that supplied nearly 1,600 stores, supercenters and neighborhood markets. </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9798" w:type="dxa"/>
            <w:gridSpan w:val="10"/>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Director since</w:t>
            </w:r>
            <w:r>
              <w:rPr>
                <w:rFonts w:ascii="Times New Roman;Times;serif" w:hAnsi="Times New Roman;Times;serif"/>
                <w:b w:val="false"/>
                <w:color w:val="000000"/>
                <w:sz w:val="18"/>
              </w:rPr>
              <w:t xml:space="preserve">: 2018, </w:t>
            </w:r>
            <w:r>
              <w:rPr>
                <w:rFonts w:ascii="Times New Roman;Times;serif" w:hAnsi="Times New Roman;Times;serif"/>
                <w:b/>
                <w:color w:val="000000"/>
                <w:sz w:val="18"/>
              </w:rPr>
              <w:t>Committees</w:t>
            </w:r>
            <w:r>
              <w:rPr>
                <w:rFonts w:ascii="Times New Roman;Times;serif" w:hAnsi="Times New Roman;Times;serif"/>
                <w:b w:val="false"/>
                <w:color w:val="000000"/>
                <w:sz w:val="18"/>
              </w:rPr>
              <w:t xml:space="preserve">: C/HC, </w:t>
            </w:r>
            <w:r>
              <w:rPr>
                <w:rFonts w:ascii="Times New Roman;Times;serif" w:hAnsi="Times New Roman;Times;serif"/>
                <w:b/>
                <w:color w:val="000000"/>
                <w:sz w:val="18"/>
              </w:rPr>
              <w:t>Other public boards</w:t>
            </w:r>
            <w:r>
              <w:rPr>
                <w:rFonts w:ascii="Times New Roman;Times;serif" w:hAnsi="Times New Roman;Times;serif"/>
                <w:b w:val="false"/>
                <w:color w:val="000000"/>
                <w:sz w:val="18"/>
              </w:rPr>
              <w:t>: FedEx Freight, Inc. (2026-Present)</w:t>
            </w:r>
          </w:p>
        </w:tc>
        <w:tc>
          <w:tcPr>
            <w:tcW w:w="222"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798" w:type="dxa"/>
            <w:gridSpan w:val="10"/>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22"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4" w:name="ny20072699x1_def14a_105-prop1_pg6"/>
        <w:bookmarkEnd w:id="3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571"/>
        <w:gridCol w:w="225"/>
        <w:gridCol w:w="225"/>
        <w:gridCol w:w="1628"/>
        <w:gridCol w:w="225"/>
        <w:gridCol w:w="225"/>
        <w:gridCol w:w="2414"/>
        <w:gridCol w:w="225"/>
        <w:gridCol w:w="225"/>
        <w:gridCol w:w="2836"/>
        <w:gridCol w:w="221"/>
      </w:tblGrid>
      <w:tr>
        <w:trPr/>
        <w:tc>
          <w:tcPr>
            <w:tcW w:w="185" w:type="dxa"/>
            <w:tcBorders/>
            <w:shd w:fill="F2F2F2" w:val="clear"/>
            <w:vAlign w:val="center"/>
          </w:tcPr>
          <w:p>
            <w:pPr>
              <w:pStyle w:val="TableContents"/>
              <w:bidi w:val="0"/>
              <w:spacing w:before="0" w:after="0"/>
              <w:jc w:val="left"/>
              <w:rPr/>
            </w:pPr>
            <w:r>
              <w:rPr/>
              <w:t> </w:t>
            </w:r>
          </w:p>
        </w:tc>
        <w:tc>
          <w:tcPr>
            <w:tcW w:w="3649" w:type="dxa"/>
            <w:gridSpan w:val="4"/>
            <w:tcBorders/>
            <w:shd w:fill="F2F2F2" w:val="clear"/>
            <w:vAlign w:val="center"/>
          </w:tcPr>
          <w:p>
            <w:pPr>
              <w:pStyle w:val="TableContents"/>
              <w:bidi w:val="0"/>
              <w:spacing w:before="0" w:after="0"/>
              <w:jc w:val="left"/>
              <w:rPr/>
            </w:pPr>
            <w:r>
              <w:rPr/>
              <w:t> </w:t>
            </w:r>
          </w:p>
        </w:tc>
        <w:tc>
          <w:tcPr>
            <w:tcW w:w="225" w:type="dxa"/>
            <w:tcBorders/>
            <w:shd w:fill="F2F2F2" w:val="clear"/>
            <w:vAlign w:val="center"/>
          </w:tcPr>
          <w:p>
            <w:pPr>
              <w:pStyle w:val="TableContents"/>
              <w:bidi w:val="0"/>
              <w:spacing w:before="0" w:after="0"/>
              <w:jc w:val="left"/>
              <w:rPr/>
            </w:pPr>
            <w:r>
              <w:rPr/>
              <w:t> </w:t>
            </w:r>
          </w:p>
        </w:tc>
        <w:tc>
          <w:tcPr>
            <w:tcW w:w="225" w:type="dxa"/>
            <w:tcBorders/>
            <w:shd w:fill="F2F2F2" w:val="clear"/>
            <w:vAlign w:val="center"/>
          </w:tcPr>
          <w:p>
            <w:pPr>
              <w:pStyle w:val="TableContents"/>
              <w:bidi w:val="0"/>
              <w:spacing w:before="0" w:after="0"/>
              <w:jc w:val="left"/>
              <w:rPr/>
            </w:pPr>
            <w:r>
              <w:rPr/>
              <w:t> </w:t>
            </w:r>
          </w:p>
        </w:tc>
        <w:tc>
          <w:tcPr>
            <w:tcW w:w="2414" w:type="dxa"/>
            <w:tcBorders/>
            <w:shd w:fill="F2F2F2" w:val="clear"/>
            <w:vAlign w:val="center"/>
          </w:tcPr>
          <w:p>
            <w:pPr>
              <w:pStyle w:val="TableContents"/>
              <w:bidi w:val="0"/>
              <w:spacing w:before="0" w:after="0"/>
              <w:jc w:val="left"/>
              <w:rPr/>
            </w:pPr>
            <w:r>
              <w:rPr/>
              <w:t> </w:t>
            </w:r>
          </w:p>
        </w:tc>
        <w:tc>
          <w:tcPr>
            <w:tcW w:w="225" w:type="dxa"/>
            <w:tcBorders/>
            <w:shd w:fill="F2F2F2" w:val="clear"/>
            <w:vAlign w:val="center"/>
          </w:tcPr>
          <w:p>
            <w:pPr>
              <w:pStyle w:val="TableContents"/>
              <w:bidi w:val="0"/>
              <w:spacing w:before="0" w:after="0"/>
              <w:jc w:val="left"/>
              <w:rPr/>
            </w:pPr>
            <w:r>
              <w:rPr/>
              <w:t> </w:t>
            </w:r>
          </w:p>
        </w:tc>
        <w:tc>
          <w:tcPr>
            <w:tcW w:w="225" w:type="dxa"/>
            <w:tcBorders/>
            <w:shd w:fill="F2F2F2" w:val="clear"/>
            <w:vAlign w:val="center"/>
          </w:tcPr>
          <w:p>
            <w:pPr>
              <w:pStyle w:val="TableContents"/>
              <w:bidi w:val="0"/>
              <w:spacing w:before="0" w:after="0"/>
              <w:jc w:val="left"/>
              <w:rPr/>
            </w:pPr>
            <w:r>
              <w:rPr/>
              <w:t> </w:t>
            </w:r>
          </w:p>
        </w:tc>
        <w:tc>
          <w:tcPr>
            <w:tcW w:w="2836" w:type="dxa"/>
            <w:tcBorders/>
            <w:shd w:fill="F2F2F2" w:val="clear"/>
            <w:vAlign w:val="center"/>
          </w:tcPr>
          <w:p>
            <w:pPr>
              <w:pStyle w:val="TableContents"/>
              <w:bidi w:val="0"/>
              <w:spacing w:before="0" w:after="0"/>
              <w:jc w:val="left"/>
              <w:rPr/>
            </w:pPr>
            <w:r>
              <w:rPr/>
              <w:t> </w:t>
            </w:r>
          </w:p>
        </w:tc>
        <w:tc>
          <w:tcPr>
            <w:tcW w:w="221"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649" w:type="dxa"/>
            <w:gridSpan w:val="4"/>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Nominee</w:t>
            </w:r>
          </w:p>
        </w:tc>
        <w:tc>
          <w:tcPr>
            <w:tcW w:w="22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2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414"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Career Highlights</w:t>
            </w:r>
          </w:p>
        </w:tc>
        <w:tc>
          <w:tcPr>
            <w:tcW w:w="22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2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836"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Relevant Board Skills </w:t>
            </w:r>
          </w:p>
        </w:tc>
        <w:tc>
          <w:tcPr>
            <w:tcW w:w="221"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71" w:type="dxa"/>
            <w:tcBorders>
              <w:bottom w:val="single" w:sz="8" w:space="0" w:color="000000"/>
            </w:tcBorders>
            <w:tcMar>
              <w:bottom w:w="55" w:type="dxa"/>
            </w:tcMar>
            <w:vAlign w:val="center"/>
          </w:tcPr>
          <w:p>
            <w:pPr>
              <w:pStyle w:val="TableContents"/>
              <w:bidi w:val="0"/>
              <w:spacing w:before="0" w:after="283"/>
              <w:jc w:val="center"/>
              <w:rPr>
                <w:color w:val="000000"/>
              </w:rPr>
            </w:pPr>
            <w:r>
              <w:rPr>
                <w:color w:val="000000"/>
              </w:rPr>
              <w:drawing>
                <wp:inline distT="0" distB="0" distL="0" distR="0">
                  <wp:extent cx="733425" cy="733425"/>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733425" cy="733425"/>
                          </a:xfrm>
                          <a:prstGeom prst="rect">
                            <a:avLst/>
                          </a:prstGeom>
                        </pic:spPr>
                      </pic:pic>
                    </a:graphicData>
                  </a:graphic>
                </wp:inline>
              </w:drawing>
            </w:r>
          </w:p>
          <w:p>
            <w:pPr>
              <w:pStyle w:val="TableContents"/>
              <w:bidi w:val="0"/>
              <w:spacing w:before="0" w:after="283"/>
              <w:ind w:left="35" w:right="0" w:hanging="0"/>
              <w:jc w:val="left"/>
              <w:rPr>
                <w:color w:val="000000"/>
              </w:rPr>
            </w:pPr>
            <w:r>
              <w:rPr>
                <w:color w:val="000000"/>
              </w:rPr>
              <w:t> </w:t>
            </w:r>
          </w:p>
        </w:tc>
        <w:tc>
          <w:tcPr>
            <w:tcW w:w="225" w:type="dxa"/>
            <w:tcBorders>
              <w:bottom w:val="single" w:sz="8" w:space="0" w:color="000000"/>
            </w:tcBorders>
            <w:tcMar>
              <w:bottom w:w="28" w:type="dxa"/>
            </w:tcMar>
            <w:vAlign w:val="center"/>
          </w:tcPr>
          <w:p>
            <w:pPr>
              <w:pStyle w:val="TableContents"/>
              <w:bidi w:val="0"/>
              <w:spacing w:before="0" w:after="0"/>
              <w:jc w:val="left"/>
              <w:rPr/>
            </w:pPr>
            <w:r>
              <w:rPr/>
              <w:t> </w:t>
            </w:r>
          </w:p>
        </w:tc>
        <w:tc>
          <w:tcPr>
            <w:tcW w:w="225" w:type="dxa"/>
            <w:tcBorders>
              <w:bottom w:val="single" w:sz="8" w:space="0" w:color="000000"/>
            </w:tcBorders>
            <w:tcMar>
              <w:bottom w:w="28" w:type="dxa"/>
            </w:tcMar>
            <w:vAlign w:val="center"/>
          </w:tcPr>
          <w:p>
            <w:pPr>
              <w:pStyle w:val="TableContents"/>
              <w:bidi w:val="0"/>
              <w:spacing w:before="0" w:after="0"/>
              <w:jc w:val="left"/>
              <w:rPr/>
            </w:pPr>
            <w:r>
              <w:rPr/>
              <w:t> </w:t>
            </w:r>
          </w:p>
        </w:tc>
        <w:tc>
          <w:tcPr>
            <w:tcW w:w="1628"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David K. Lenhardt, 57 (I)</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Former President and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Chief Executive Officer,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PetSmart, Inc.</w:t>
            </w:r>
          </w:p>
        </w:tc>
        <w:tc>
          <w:tcPr>
            <w:tcW w:w="225"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25" w:type="dxa"/>
            <w:tcBorders>
              <w:bottom w:val="single" w:sz="8" w:space="0" w:color="000000"/>
            </w:tcBorders>
            <w:tcMar>
              <w:bottom w:w="28" w:type="dxa"/>
            </w:tcMar>
            <w:vAlign w:val="center"/>
          </w:tcPr>
          <w:p>
            <w:pPr>
              <w:pStyle w:val="TableContents"/>
              <w:bidi w:val="0"/>
              <w:spacing w:before="0" w:after="0"/>
              <w:jc w:val="left"/>
              <w:rPr/>
            </w:pPr>
            <w:r>
              <w:rPr/>
              <w:t> </w:t>
            </w:r>
          </w:p>
        </w:tc>
        <w:tc>
          <w:tcPr>
            <w:tcW w:w="2414"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PetSmart,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President/CEO (2013-2015)</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President/COO (2012-2013)</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Management/leadership positions (2000-2012)</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Bain &amp; Company,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Manager (1996-2000)</w:t>
            </w:r>
          </w:p>
        </w:tc>
        <w:tc>
          <w:tcPr>
            <w:tcW w:w="225"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25" w:type="dxa"/>
            <w:tcBorders>
              <w:bottom w:val="single" w:sz="8" w:space="0" w:color="000000"/>
            </w:tcBorders>
            <w:tcMar>
              <w:bottom w:w="28" w:type="dxa"/>
            </w:tcMar>
            <w:vAlign w:val="center"/>
          </w:tcPr>
          <w:p>
            <w:pPr>
              <w:pStyle w:val="TableContents"/>
              <w:bidi w:val="0"/>
              <w:spacing w:before="0" w:after="0"/>
              <w:jc w:val="left"/>
              <w:rPr/>
            </w:pPr>
            <w:r>
              <w:rPr/>
              <w:t> </w:t>
            </w:r>
          </w:p>
        </w:tc>
        <w:tc>
          <w:tcPr>
            <w:tcW w:w="2836" w:type="dxa"/>
            <w:tcBorders>
              <w:bottom w:val="single" w:sz="8" w:space="0" w:color="000000"/>
            </w:tcBorders>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Public Company CEO Experience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Senior Business Operations Leadership</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Consumer Products, Retail</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Real Estate, Development, Construction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Capital Markets, Investment Banking, Asset Management, IR</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M&amp;A</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Finance, Accounting, Financial Reporting</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Risk Management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 xml:space="preserve">Corporate Strategy </w:t>
            </w:r>
          </w:p>
        </w:tc>
        <w:tc>
          <w:tcPr>
            <w:tcW w:w="221"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799" w:type="dxa"/>
            <w:gridSpan w:val="10"/>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Mr. Lenhardt is a seasoned executive, bringing over 15 years of operations, services and leadership experience with him from PetSmart, a leading specialty retailer of pet products and services, where he served three years as President and two years as President and CEO. During that time, Mr. Lenhardt successfully completed PetSmart’s strategic review process in 2014, which resulted in the sale of PetSmart to BC Partners for $8.7 billion in 2015, representing the highest equity valuation in its history. Prior to PetSmart, Mr. Lenhardt served as manager of Bain &amp; Company, Inc., where he led consulting teams for retail, technology and e-commerce clients. </w:t>
            </w:r>
          </w:p>
        </w:tc>
        <w:tc>
          <w:tcPr>
            <w:tcW w:w="221"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9799" w:type="dxa"/>
            <w:gridSpan w:val="10"/>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Director since</w:t>
            </w:r>
            <w:r>
              <w:rPr>
                <w:rFonts w:ascii="Times New Roman;Times;serif" w:hAnsi="Times New Roman;Times;serif"/>
                <w:b w:val="false"/>
                <w:color w:val="000000"/>
                <w:sz w:val="18"/>
              </w:rPr>
              <w:t xml:space="preserve">: 2018, </w:t>
            </w:r>
            <w:r>
              <w:rPr>
                <w:rFonts w:ascii="Times New Roman;Times;serif" w:hAnsi="Times New Roman;Times;serif"/>
                <w:b/>
                <w:color w:val="000000"/>
                <w:sz w:val="18"/>
              </w:rPr>
              <w:t>Committees</w:t>
            </w:r>
            <w:r>
              <w:rPr>
                <w:rFonts w:ascii="Times New Roman;Times;serif" w:hAnsi="Times New Roman;Times;serif"/>
                <w:b w:val="false"/>
                <w:color w:val="000000"/>
                <w:sz w:val="18"/>
              </w:rPr>
              <w:t xml:space="preserve">: NCG (Chair), </w:t>
            </w:r>
            <w:r>
              <w:rPr>
                <w:rFonts w:ascii="Times New Roman;Times;serif" w:hAnsi="Times New Roman;Times;serif"/>
                <w:b/>
                <w:color w:val="000000"/>
                <w:sz w:val="18"/>
              </w:rPr>
              <w:t>Other public boards</w:t>
            </w:r>
            <w:r>
              <w:rPr>
                <w:rFonts w:ascii="Times New Roman;Times;serif" w:hAnsi="Times New Roman;Times;serif"/>
                <w:b w:val="false"/>
                <w:color w:val="000000"/>
                <w:sz w:val="18"/>
              </w:rPr>
              <w:t>: None</w:t>
            </w:r>
          </w:p>
        </w:tc>
        <w:tc>
          <w:tcPr>
            <w:tcW w:w="221"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799" w:type="dxa"/>
            <w:gridSpan w:val="10"/>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21"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454"/>
        <w:gridCol w:w="208"/>
        <w:gridCol w:w="208"/>
        <w:gridCol w:w="2421"/>
        <w:gridCol w:w="208"/>
        <w:gridCol w:w="208"/>
        <w:gridCol w:w="3058"/>
        <w:gridCol w:w="208"/>
        <w:gridCol w:w="208"/>
        <w:gridCol w:w="1617"/>
        <w:gridCol w:w="222"/>
      </w:tblGrid>
      <w:tr>
        <w:trPr/>
        <w:tc>
          <w:tcPr>
            <w:tcW w:w="185" w:type="dxa"/>
            <w:tcBorders/>
            <w:shd w:fill="F2F2F2" w:val="clear"/>
            <w:vAlign w:val="center"/>
          </w:tcPr>
          <w:p>
            <w:pPr>
              <w:pStyle w:val="TableContents"/>
              <w:bidi w:val="0"/>
              <w:spacing w:before="0" w:after="0"/>
              <w:jc w:val="left"/>
              <w:rPr/>
            </w:pPr>
            <w:r>
              <w:rPr/>
              <w:t> </w:t>
            </w:r>
          </w:p>
        </w:tc>
        <w:tc>
          <w:tcPr>
            <w:tcW w:w="4291" w:type="dxa"/>
            <w:gridSpan w:val="4"/>
            <w:tcBorders/>
            <w:shd w:fill="F2F2F2" w:val="clear"/>
            <w:vAlign w:val="center"/>
          </w:tcPr>
          <w:p>
            <w:pPr>
              <w:pStyle w:val="TableContents"/>
              <w:bidi w:val="0"/>
              <w:spacing w:before="0" w:after="0"/>
              <w:jc w:val="left"/>
              <w:rPr/>
            </w:pPr>
            <w:r>
              <w:rPr/>
              <w:t> </w:t>
            </w:r>
          </w:p>
        </w:tc>
        <w:tc>
          <w:tcPr>
            <w:tcW w:w="208" w:type="dxa"/>
            <w:tcBorders/>
            <w:shd w:fill="F2F2F2" w:val="clear"/>
            <w:vAlign w:val="center"/>
          </w:tcPr>
          <w:p>
            <w:pPr>
              <w:pStyle w:val="TableContents"/>
              <w:bidi w:val="0"/>
              <w:spacing w:before="0" w:after="0"/>
              <w:jc w:val="left"/>
              <w:rPr/>
            </w:pPr>
            <w:r>
              <w:rPr/>
              <w:t> </w:t>
            </w:r>
          </w:p>
        </w:tc>
        <w:tc>
          <w:tcPr>
            <w:tcW w:w="208" w:type="dxa"/>
            <w:tcBorders/>
            <w:shd w:fill="F2F2F2" w:val="clear"/>
            <w:vAlign w:val="center"/>
          </w:tcPr>
          <w:p>
            <w:pPr>
              <w:pStyle w:val="TableContents"/>
              <w:bidi w:val="0"/>
              <w:spacing w:before="0" w:after="0"/>
              <w:jc w:val="left"/>
              <w:rPr/>
            </w:pPr>
            <w:r>
              <w:rPr/>
              <w:t> </w:t>
            </w:r>
          </w:p>
        </w:tc>
        <w:tc>
          <w:tcPr>
            <w:tcW w:w="3058" w:type="dxa"/>
            <w:tcBorders/>
            <w:shd w:fill="F2F2F2" w:val="clear"/>
            <w:vAlign w:val="center"/>
          </w:tcPr>
          <w:p>
            <w:pPr>
              <w:pStyle w:val="TableContents"/>
              <w:bidi w:val="0"/>
              <w:spacing w:before="0" w:after="0"/>
              <w:jc w:val="left"/>
              <w:rPr/>
            </w:pPr>
            <w:r>
              <w:rPr/>
              <w:t> </w:t>
            </w:r>
          </w:p>
        </w:tc>
        <w:tc>
          <w:tcPr>
            <w:tcW w:w="208" w:type="dxa"/>
            <w:tcBorders/>
            <w:shd w:fill="F2F2F2" w:val="clear"/>
            <w:vAlign w:val="center"/>
          </w:tcPr>
          <w:p>
            <w:pPr>
              <w:pStyle w:val="TableContents"/>
              <w:bidi w:val="0"/>
              <w:spacing w:before="0" w:after="0"/>
              <w:jc w:val="left"/>
              <w:rPr/>
            </w:pPr>
            <w:r>
              <w:rPr/>
              <w:t> </w:t>
            </w:r>
          </w:p>
        </w:tc>
        <w:tc>
          <w:tcPr>
            <w:tcW w:w="208" w:type="dxa"/>
            <w:tcBorders/>
            <w:shd w:fill="F2F2F2" w:val="clear"/>
            <w:vAlign w:val="center"/>
          </w:tcPr>
          <w:p>
            <w:pPr>
              <w:pStyle w:val="TableContents"/>
              <w:bidi w:val="0"/>
              <w:spacing w:before="0" w:after="0"/>
              <w:jc w:val="left"/>
              <w:rPr/>
            </w:pPr>
            <w:r>
              <w:rPr/>
              <w:t> </w:t>
            </w:r>
          </w:p>
        </w:tc>
        <w:tc>
          <w:tcPr>
            <w:tcW w:w="1617" w:type="dxa"/>
            <w:tcBorders/>
            <w:shd w:fill="F2F2F2" w:val="clear"/>
            <w:vAlign w:val="center"/>
          </w:tcPr>
          <w:p>
            <w:pPr>
              <w:pStyle w:val="TableContents"/>
              <w:bidi w:val="0"/>
              <w:spacing w:before="0" w:after="0"/>
              <w:jc w:val="left"/>
              <w:rPr/>
            </w:pPr>
            <w:r>
              <w:rPr/>
              <w:t> </w:t>
            </w:r>
          </w:p>
        </w:tc>
        <w:tc>
          <w:tcPr>
            <w:tcW w:w="222"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4291" w:type="dxa"/>
            <w:gridSpan w:val="4"/>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Nominee</w:t>
            </w:r>
          </w:p>
        </w:tc>
        <w:tc>
          <w:tcPr>
            <w:tcW w:w="20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0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058"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Career Highlights</w:t>
            </w:r>
          </w:p>
        </w:tc>
        <w:tc>
          <w:tcPr>
            <w:tcW w:w="20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0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617"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Relevant Board Skills </w:t>
            </w:r>
          </w:p>
        </w:tc>
        <w:tc>
          <w:tcPr>
            <w:tcW w:w="222"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54" w:type="dxa"/>
            <w:tcBorders>
              <w:bottom w:val="single" w:sz="8" w:space="0" w:color="000000"/>
            </w:tcBorders>
            <w:tcMar>
              <w:bottom w:w="55" w:type="dxa"/>
            </w:tcMar>
            <w:vAlign w:val="center"/>
          </w:tcPr>
          <w:p>
            <w:pPr>
              <w:pStyle w:val="TableContents"/>
              <w:bidi w:val="0"/>
              <w:spacing w:before="0" w:after="283"/>
              <w:jc w:val="center"/>
              <w:rPr>
                <w:color w:val="000000"/>
              </w:rPr>
            </w:pPr>
            <w:r>
              <w:rPr>
                <w:color w:val="000000"/>
              </w:rPr>
              <w:drawing>
                <wp:inline distT="0" distB="0" distL="0" distR="0">
                  <wp:extent cx="733425" cy="733425"/>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733425" cy="733425"/>
                          </a:xfrm>
                          <a:prstGeom prst="rect">
                            <a:avLst/>
                          </a:prstGeom>
                        </pic:spPr>
                      </pic:pic>
                    </a:graphicData>
                  </a:graphic>
                </wp:inline>
              </w:drawing>
            </w:r>
          </w:p>
          <w:p>
            <w:pPr>
              <w:pStyle w:val="TableContents"/>
              <w:bidi w:val="0"/>
              <w:spacing w:before="0" w:after="283"/>
              <w:ind w:left="35" w:right="0" w:hanging="0"/>
              <w:jc w:val="left"/>
              <w:rPr>
                <w:color w:val="000000"/>
              </w:rPr>
            </w:pPr>
            <w:r>
              <w:rPr>
                <w:color w:val="000000"/>
              </w:rPr>
              <w:t> </w:t>
            </w:r>
          </w:p>
        </w:tc>
        <w:tc>
          <w:tcPr>
            <w:tcW w:w="208" w:type="dxa"/>
            <w:tcBorders>
              <w:bottom w:val="single" w:sz="8" w:space="0" w:color="000000"/>
            </w:tcBorders>
            <w:tcMar>
              <w:bottom w:w="28" w:type="dxa"/>
            </w:tcMar>
            <w:vAlign w:val="center"/>
          </w:tcPr>
          <w:p>
            <w:pPr>
              <w:pStyle w:val="TableContents"/>
              <w:bidi w:val="0"/>
              <w:spacing w:before="0" w:after="0"/>
              <w:jc w:val="left"/>
              <w:rPr/>
            </w:pPr>
            <w:r>
              <w:rPr/>
              <w:t> </w:t>
            </w:r>
          </w:p>
        </w:tc>
        <w:tc>
          <w:tcPr>
            <w:tcW w:w="208" w:type="dxa"/>
            <w:tcBorders>
              <w:bottom w:val="single" w:sz="8" w:space="0" w:color="000000"/>
            </w:tcBorders>
            <w:tcMar>
              <w:bottom w:w="28" w:type="dxa"/>
            </w:tcMar>
            <w:vAlign w:val="center"/>
          </w:tcPr>
          <w:p>
            <w:pPr>
              <w:pStyle w:val="TableContents"/>
              <w:bidi w:val="0"/>
              <w:spacing w:before="0" w:after="0"/>
              <w:jc w:val="left"/>
              <w:rPr/>
            </w:pPr>
            <w:r>
              <w:rPr/>
              <w:t> </w:t>
            </w:r>
          </w:p>
        </w:tc>
        <w:tc>
          <w:tcPr>
            <w:tcW w:w="2421"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Maria Castañón Moats, 58 (I)</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Retired Partner,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PricewaterhouseCoopers, LLP</w:t>
            </w:r>
          </w:p>
        </w:tc>
        <w:tc>
          <w:tcPr>
            <w:tcW w:w="20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08" w:type="dxa"/>
            <w:tcBorders>
              <w:bottom w:val="single" w:sz="8" w:space="0" w:color="000000"/>
            </w:tcBorders>
            <w:tcMar>
              <w:bottom w:w="28" w:type="dxa"/>
            </w:tcMar>
            <w:vAlign w:val="center"/>
          </w:tcPr>
          <w:p>
            <w:pPr>
              <w:pStyle w:val="TableContents"/>
              <w:bidi w:val="0"/>
              <w:spacing w:before="0" w:after="0"/>
              <w:jc w:val="left"/>
              <w:rPr/>
            </w:pPr>
            <w:r>
              <w:rPr/>
              <w:t> </w:t>
            </w:r>
          </w:p>
        </w:tc>
        <w:tc>
          <w:tcPr>
            <w:tcW w:w="3058"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PricewaterhouseCoopers, LLC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Partner (2004-2024)</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Leader, Governance Insights Center (2021-2024)</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Vice-Chair, Mexico &amp; US Assurance Leader (2016-2019)</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Chief Diversity Officer (2011-2016)</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Associate/Manager positions (1994-2004)</w:t>
            </w:r>
          </w:p>
        </w:tc>
        <w:tc>
          <w:tcPr>
            <w:tcW w:w="20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08" w:type="dxa"/>
            <w:tcBorders>
              <w:bottom w:val="single" w:sz="8" w:space="0" w:color="000000"/>
            </w:tcBorders>
            <w:tcMar>
              <w:bottom w:w="28" w:type="dxa"/>
            </w:tcMar>
            <w:vAlign w:val="center"/>
          </w:tcPr>
          <w:p>
            <w:pPr>
              <w:pStyle w:val="TableContents"/>
              <w:bidi w:val="0"/>
              <w:spacing w:before="0" w:after="0"/>
              <w:jc w:val="left"/>
              <w:rPr/>
            </w:pPr>
            <w:r>
              <w:rPr/>
              <w:t> </w:t>
            </w:r>
          </w:p>
        </w:tc>
        <w:tc>
          <w:tcPr>
            <w:tcW w:w="1617" w:type="dxa"/>
            <w:tcBorders>
              <w:bottom w:val="single" w:sz="8" w:space="0" w:color="000000"/>
            </w:tcBorders>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Senior Business Operations Leadership</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Consumer Products, Retail</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M&amp;A</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Finance, Accounting, Financial Reporting</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 xml:space="preserve">Corporate Strategy </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798" w:type="dxa"/>
            <w:gridSpan w:val="10"/>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Ms. Castañón Moats is a seasoned public accounting and governance leader, bringing over 30 years of experience from PricewaterhouseCoopers, LLP (PwC), an international accounting and professional services firm. As a partner in the firm for over 20 years, Ms. Castañón Moats led PwC’s Governance Insights Center from 2021 to 2024, and held previous leadership roles as its Vice-Chair, Mexico &amp; US Assurance Leader from 2016 to 2019, where she oversaw PwC’s national assurance practice and served on its US and Global Assurance Executive leadership teams, and was PwC’s Chief Diversity Officer from 2011 to 2016. Throughout her career, Ms. Castañón Moats regularly provided accounting, financial reporting, investigations and M&amp;A services to both private and public clients across the retail, consumer and industrial products industries, and was named as number two on Fortune magazine’s inaugural “50 Most Powerful Latina’s List.” </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9798" w:type="dxa"/>
            <w:gridSpan w:val="10"/>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Director since</w:t>
            </w:r>
            <w:r>
              <w:rPr>
                <w:rFonts w:ascii="Times New Roman;Times;serif" w:hAnsi="Times New Roman;Times;serif"/>
                <w:b w:val="false"/>
                <w:color w:val="000000"/>
                <w:sz w:val="18"/>
              </w:rPr>
              <w:t xml:space="preserve">: 2024, </w:t>
            </w:r>
            <w:r>
              <w:rPr>
                <w:rFonts w:ascii="Times New Roman;Times;serif" w:hAnsi="Times New Roman;Times;serif"/>
                <w:b/>
                <w:color w:val="000000"/>
                <w:sz w:val="18"/>
              </w:rPr>
              <w:t>Committees</w:t>
            </w:r>
            <w:r>
              <w:rPr>
                <w:rFonts w:ascii="Times New Roman;Times;serif" w:hAnsi="Times New Roman;Times;serif"/>
                <w:b w:val="false"/>
                <w:color w:val="000000"/>
                <w:sz w:val="18"/>
              </w:rPr>
              <w:t xml:space="preserve">: A (Chair)*, </w:t>
            </w:r>
            <w:r>
              <w:rPr>
                <w:rFonts w:ascii="Times New Roman;Times;serif" w:hAnsi="Times New Roman;Times;serif"/>
                <w:b/>
                <w:color w:val="000000"/>
                <w:sz w:val="18"/>
              </w:rPr>
              <w:t>Other public boards</w:t>
            </w:r>
            <w:r>
              <w:rPr>
                <w:rFonts w:ascii="Times New Roman;Times;serif" w:hAnsi="Times New Roman;Times;serif"/>
                <w:b w:val="false"/>
                <w:color w:val="000000"/>
                <w:sz w:val="18"/>
              </w:rPr>
              <w:t>: None</w:t>
            </w:r>
          </w:p>
        </w:tc>
        <w:tc>
          <w:tcPr>
            <w:tcW w:w="222"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798" w:type="dxa"/>
            <w:gridSpan w:val="10"/>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22"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595"/>
        <w:gridCol w:w="228"/>
        <w:gridCol w:w="228"/>
        <w:gridCol w:w="1490"/>
        <w:gridCol w:w="228"/>
        <w:gridCol w:w="228"/>
        <w:gridCol w:w="2381"/>
        <w:gridCol w:w="228"/>
        <w:gridCol w:w="228"/>
        <w:gridCol w:w="2965"/>
        <w:gridCol w:w="221"/>
      </w:tblGrid>
      <w:tr>
        <w:trPr/>
        <w:tc>
          <w:tcPr>
            <w:tcW w:w="185" w:type="dxa"/>
            <w:tcBorders/>
            <w:shd w:fill="F2F2F2" w:val="clear"/>
            <w:vAlign w:val="center"/>
          </w:tcPr>
          <w:p>
            <w:pPr>
              <w:pStyle w:val="TableContents"/>
              <w:bidi w:val="0"/>
              <w:spacing w:before="0" w:after="0"/>
              <w:jc w:val="left"/>
              <w:rPr/>
            </w:pPr>
            <w:r>
              <w:rPr/>
              <w:t> </w:t>
            </w:r>
          </w:p>
        </w:tc>
        <w:tc>
          <w:tcPr>
            <w:tcW w:w="3541" w:type="dxa"/>
            <w:gridSpan w:val="4"/>
            <w:tcBorders/>
            <w:shd w:fill="F2F2F2" w:val="clear"/>
            <w:vAlign w:val="center"/>
          </w:tcPr>
          <w:p>
            <w:pPr>
              <w:pStyle w:val="TableContents"/>
              <w:bidi w:val="0"/>
              <w:spacing w:before="0" w:after="0"/>
              <w:jc w:val="left"/>
              <w:rPr/>
            </w:pPr>
            <w:r>
              <w:rPr/>
              <w:t> </w:t>
            </w:r>
          </w:p>
        </w:tc>
        <w:tc>
          <w:tcPr>
            <w:tcW w:w="228" w:type="dxa"/>
            <w:tcBorders/>
            <w:shd w:fill="F2F2F2" w:val="clear"/>
            <w:vAlign w:val="center"/>
          </w:tcPr>
          <w:p>
            <w:pPr>
              <w:pStyle w:val="TableContents"/>
              <w:bidi w:val="0"/>
              <w:spacing w:before="0" w:after="0"/>
              <w:jc w:val="left"/>
              <w:rPr/>
            </w:pPr>
            <w:r>
              <w:rPr/>
              <w:t> </w:t>
            </w:r>
          </w:p>
        </w:tc>
        <w:tc>
          <w:tcPr>
            <w:tcW w:w="228" w:type="dxa"/>
            <w:tcBorders/>
            <w:shd w:fill="F2F2F2" w:val="clear"/>
            <w:vAlign w:val="center"/>
          </w:tcPr>
          <w:p>
            <w:pPr>
              <w:pStyle w:val="TableContents"/>
              <w:bidi w:val="0"/>
              <w:spacing w:before="0" w:after="0"/>
              <w:jc w:val="left"/>
              <w:rPr/>
            </w:pPr>
            <w:r>
              <w:rPr/>
              <w:t> </w:t>
            </w:r>
          </w:p>
        </w:tc>
        <w:tc>
          <w:tcPr>
            <w:tcW w:w="2381" w:type="dxa"/>
            <w:tcBorders/>
            <w:shd w:fill="F2F2F2" w:val="clear"/>
            <w:vAlign w:val="center"/>
          </w:tcPr>
          <w:p>
            <w:pPr>
              <w:pStyle w:val="TableContents"/>
              <w:bidi w:val="0"/>
              <w:spacing w:before="0" w:after="0"/>
              <w:jc w:val="left"/>
              <w:rPr/>
            </w:pPr>
            <w:r>
              <w:rPr/>
              <w:t> </w:t>
            </w:r>
          </w:p>
        </w:tc>
        <w:tc>
          <w:tcPr>
            <w:tcW w:w="228" w:type="dxa"/>
            <w:tcBorders/>
            <w:shd w:fill="F2F2F2" w:val="clear"/>
            <w:vAlign w:val="center"/>
          </w:tcPr>
          <w:p>
            <w:pPr>
              <w:pStyle w:val="TableContents"/>
              <w:bidi w:val="0"/>
              <w:spacing w:before="0" w:after="0"/>
              <w:jc w:val="left"/>
              <w:rPr/>
            </w:pPr>
            <w:r>
              <w:rPr/>
              <w:t> </w:t>
            </w:r>
          </w:p>
        </w:tc>
        <w:tc>
          <w:tcPr>
            <w:tcW w:w="228" w:type="dxa"/>
            <w:tcBorders/>
            <w:shd w:fill="F2F2F2" w:val="clear"/>
            <w:vAlign w:val="center"/>
          </w:tcPr>
          <w:p>
            <w:pPr>
              <w:pStyle w:val="TableContents"/>
              <w:bidi w:val="0"/>
              <w:spacing w:before="0" w:after="0"/>
              <w:jc w:val="left"/>
              <w:rPr/>
            </w:pPr>
            <w:r>
              <w:rPr/>
              <w:t> </w:t>
            </w:r>
          </w:p>
        </w:tc>
        <w:tc>
          <w:tcPr>
            <w:tcW w:w="2965" w:type="dxa"/>
            <w:tcBorders/>
            <w:shd w:fill="F2F2F2" w:val="clear"/>
            <w:vAlign w:val="center"/>
          </w:tcPr>
          <w:p>
            <w:pPr>
              <w:pStyle w:val="TableContents"/>
              <w:bidi w:val="0"/>
              <w:spacing w:before="0" w:after="0"/>
              <w:jc w:val="left"/>
              <w:rPr/>
            </w:pPr>
            <w:r>
              <w:rPr/>
              <w:t> </w:t>
            </w:r>
          </w:p>
        </w:tc>
        <w:tc>
          <w:tcPr>
            <w:tcW w:w="221"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541" w:type="dxa"/>
            <w:gridSpan w:val="4"/>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Nominee</w:t>
            </w:r>
          </w:p>
        </w:tc>
        <w:tc>
          <w:tcPr>
            <w:tcW w:w="22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2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381"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Career Highlights</w:t>
            </w:r>
          </w:p>
        </w:tc>
        <w:tc>
          <w:tcPr>
            <w:tcW w:w="22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2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965"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Relevant Board Skills </w:t>
            </w:r>
          </w:p>
        </w:tc>
        <w:tc>
          <w:tcPr>
            <w:tcW w:w="221"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tcMar>
              <w:bottom w:w="55" w:type="dxa"/>
            </w:tcMar>
            <w:vAlign w:val="center"/>
          </w:tcPr>
          <w:p>
            <w:pPr>
              <w:pStyle w:val="TableContents"/>
              <w:bidi w:val="0"/>
              <w:spacing w:before="0" w:after="283"/>
              <w:jc w:val="center"/>
              <w:rPr>
                <w:color w:val="000000"/>
              </w:rPr>
            </w:pPr>
            <w:r>
              <w:rPr>
                <w:color w:val="000000"/>
              </w:rPr>
              <w:drawing>
                <wp:inline distT="0" distB="0" distL="0" distR="0">
                  <wp:extent cx="733425" cy="733425"/>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1"/>
                          <a:stretch>
                            <a:fillRect/>
                          </a:stretch>
                        </pic:blipFill>
                        <pic:spPr bwMode="auto">
                          <a:xfrm>
                            <a:off x="0" y="0"/>
                            <a:ext cx="733425" cy="733425"/>
                          </a:xfrm>
                          <a:prstGeom prst="rect">
                            <a:avLst/>
                          </a:prstGeom>
                        </pic:spPr>
                      </pic:pic>
                    </a:graphicData>
                  </a:graphic>
                </wp:inline>
              </w:drawing>
            </w:r>
          </w:p>
          <w:p>
            <w:pPr>
              <w:pStyle w:val="TableContents"/>
              <w:bidi w:val="0"/>
              <w:spacing w:before="0" w:after="283"/>
              <w:ind w:left="35" w:right="0" w:hanging="0"/>
              <w:jc w:val="left"/>
              <w:rPr>
                <w:color w:val="000000"/>
              </w:rPr>
            </w:pPr>
            <w:r>
              <w:rPr>
                <w:color w:val="000000"/>
              </w:rPr>
              <w:t> </w:t>
            </w:r>
          </w:p>
        </w:tc>
        <w:tc>
          <w:tcPr>
            <w:tcW w:w="228" w:type="dxa"/>
            <w:tcBorders>
              <w:bottom w:val="single" w:sz="8" w:space="0" w:color="000000"/>
            </w:tcBorders>
            <w:tcMar>
              <w:bottom w:w="28" w:type="dxa"/>
            </w:tcMar>
            <w:vAlign w:val="center"/>
          </w:tcPr>
          <w:p>
            <w:pPr>
              <w:pStyle w:val="TableContents"/>
              <w:bidi w:val="0"/>
              <w:spacing w:before="0" w:after="0"/>
              <w:jc w:val="left"/>
              <w:rPr/>
            </w:pPr>
            <w:r>
              <w:rPr/>
              <w:t> </w:t>
            </w:r>
          </w:p>
        </w:tc>
        <w:tc>
          <w:tcPr>
            <w:tcW w:w="228"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Larree M. Renda, 68 (I)</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Retired Executive VP,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Safeway, Inc.</w:t>
            </w:r>
          </w:p>
        </w:tc>
        <w:tc>
          <w:tcPr>
            <w:tcW w:w="22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28" w:type="dxa"/>
            <w:tcBorders>
              <w:bottom w:val="single" w:sz="8" w:space="0" w:color="000000"/>
            </w:tcBorders>
            <w:tcMar>
              <w:bottom w:w="28" w:type="dxa"/>
            </w:tcMar>
            <w:vAlign w:val="center"/>
          </w:tcPr>
          <w:p>
            <w:pPr>
              <w:pStyle w:val="TableContents"/>
              <w:bidi w:val="0"/>
              <w:spacing w:before="0" w:after="0"/>
              <w:jc w:val="left"/>
              <w:rPr/>
            </w:pPr>
            <w:r>
              <w:rPr/>
              <w:t> </w:t>
            </w:r>
          </w:p>
        </w:tc>
        <w:tc>
          <w:tcPr>
            <w:tcW w:w="2381"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Safeway,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EVP (1999-2015)</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SVP (1994-1999)</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Management/leadership positions (1974-1994)</w:t>
            </w:r>
          </w:p>
        </w:tc>
        <w:tc>
          <w:tcPr>
            <w:tcW w:w="22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28" w:type="dxa"/>
            <w:tcBorders>
              <w:bottom w:val="single" w:sz="8" w:space="0" w:color="000000"/>
            </w:tcBorders>
            <w:tcMar>
              <w:bottom w:w="28" w:type="dxa"/>
            </w:tcMar>
            <w:vAlign w:val="center"/>
          </w:tcPr>
          <w:p>
            <w:pPr>
              <w:pStyle w:val="TableContents"/>
              <w:bidi w:val="0"/>
              <w:spacing w:before="0" w:after="0"/>
              <w:jc w:val="left"/>
              <w:rPr/>
            </w:pPr>
            <w:r>
              <w:rPr/>
              <w:t> </w:t>
            </w:r>
          </w:p>
        </w:tc>
        <w:tc>
          <w:tcPr>
            <w:tcW w:w="2965" w:type="dxa"/>
            <w:tcBorders>
              <w:bottom w:val="single" w:sz="8" w:space="0" w:color="000000"/>
            </w:tcBorders>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Senior Business Operations Leadership</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Consumer Products, Retail</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Real Estate, Development, Construction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Digital Marketing, E-Commerce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Marketing, Brand Management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Public Policy, Government Affairs, Regulatory, Compliance, Legal</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Risk Management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 xml:space="preserve">Corporate Strategy </w:t>
            </w:r>
          </w:p>
        </w:tc>
        <w:tc>
          <w:tcPr>
            <w:tcW w:w="221"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799" w:type="dxa"/>
            <w:gridSpan w:val="10"/>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Ms. Renda is a distinguished, 40-year veteran of the retail grocery industry, including over two decades in senior and executive leadership positions at Safeway, a U.S. supermarket chain. Her diverse responsibilities included retail strategy, labor relations, public affairs, communications, government relations, health initiatives, human resources, corporate social responsibility and sustainability, philanthropy, IT, construction and real estate. In her early career at Safeway, Ms. Renda earned the distinction of being the youngest store manager, district manager and retail operations manager in Safeway’s history. She was also the first female and youngest person promoted to Senior VP, and subsequently became Safeway’s first female Executive VP. Ms. Renda was twice voted as one of the “50 Most Influential Women in Business” by </w:t>
            </w:r>
            <w:r>
              <w:rPr>
                <w:rFonts w:ascii="Times New Roman;Times;serif" w:hAnsi="Times New Roman;Times;serif"/>
                <w:i/>
                <w:color w:val="000000"/>
                <w:sz w:val="18"/>
              </w:rPr>
              <w:t>Fortune</w:t>
            </w:r>
            <w:r>
              <w:rPr>
                <w:rFonts w:ascii="Times New Roman;Times;serif" w:hAnsi="Times New Roman;Times;serif"/>
                <w:color w:val="000000"/>
                <w:sz w:val="18"/>
              </w:rPr>
              <w:t xml:space="preserve"> magazine. </w:t>
            </w:r>
          </w:p>
        </w:tc>
        <w:tc>
          <w:tcPr>
            <w:tcW w:w="221"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9799" w:type="dxa"/>
            <w:gridSpan w:val="10"/>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Director since</w:t>
            </w:r>
            <w:r>
              <w:rPr>
                <w:rFonts w:ascii="Times New Roman;Times;serif" w:hAnsi="Times New Roman;Times;serif"/>
                <w:b w:val="false"/>
                <w:color w:val="000000"/>
                <w:sz w:val="18"/>
              </w:rPr>
              <w:t xml:space="preserve">: 2014, </w:t>
            </w:r>
            <w:r>
              <w:rPr>
                <w:rFonts w:ascii="Times New Roman;Times;serif" w:hAnsi="Times New Roman;Times;serif"/>
                <w:b/>
                <w:color w:val="000000"/>
                <w:sz w:val="18"/>
              </w:rPr>
              <w:t>Committees</w:t>
            </w:r>
            <w:r>
              <w:rPr>
                <w:rFonts w:ascii="Times New Roman;Times;serif" w:hAnsi="Times New Roman;Times;serif"/>
                <w:b w:val="false"/>
                <w:color w:val="000000"/>
                <w:sz w:val="18"/>
              </w:rPr>
              <w:t xml:space="preserve">: NCG, </w:t>
            </w:r>
            <w:r>
              <w:rPr>
                <w:rFonts w:ascii="Times New Roman;Times;serif" w:hAnsi="Times New Roman;Times;serif"/>
                <w:b/>
                <w:color w:val="000000"/>
                <w:sz w:val="18"/>
              </w:rPr>
              <w:t>Other public boards</w:t>
            </w:r>
            <w:r>
              <w:rPr>
                <w:rFonts w:ascii="Times New Roman;Times;serif" w:hAnsi="Times New Roman;Times;serif"/>
                <w:b w:val="false"/>
                <w:color w:val="000000"/>
                <w:sz w:val="18"/>
              </w:rPr>
              <w:t>: Ross Stores, Inc. (2020-2024)</w:t>
            </w:r>
          </w:p>
        </w:tc>
        <w:tc>
          <w:tcPr>
            <w:tcW w:w="221"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799" w:type="dxa"/>
            <w:gridSpan w:val="10"/>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21"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2"/>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5" w:name="ny20072699x1_def14a_105-prop1_pg7"/>
        <w:bookmarkEnd w:id="3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574"/>
        <w:gridCol w:w="225"/>
        <w:gridCol w:w="225"/>
        <w:gridCol w:w="1424"/>
        <w:gridCol w:w="225"/>
        <w:gridCol w:w="225"/>
        <w:gridCol w:w="2668"/>
        <w:gridCol w:w="225"/>
        <w:gridCol w:w="225"/>
        <w:gridCol w:w="2782"/>
        <w:gridCol w:w="222"/>
      </w:tblGrid>
      <w:tr>
        <w:trPr/>
        <w:tc>
          <w:tcPr>
            <w:tcW w:w="185" w:type="dxa"/>
            <w:tcBorders/>
            <w:shd w:fill="F2F2F2" w:val="clear"/>
            <w:vAlign w:val="center"/>
          </w:tcPr>
          <w:p>
            <w:pPr>
              <w:pStyle w:val="TableContents"/>
              <w:bidi w:val="0"/>
              <w:spacing w:before="0" w:after="0"/>
              <w:jc w:val="left"/>
              <w:rPr/>
            </w:pPr>
            <w:r>
              <w:rPr/>
              <w:t> </w:t>
            </w:r>
          </w:p>
        </w:tc>
        <w:tc>
          <w:tcPr>
            <w:tcW w:w="3448" w:type="dxa"/>
            <w:gridSpan w:val="4"/>
            <w:tcBorders/>
            <w:shd w:fill="F2F2F2" w:val="clear"/>
            <w:vAlign w:val="center"/>
          </w:tcPr>
          <w:p>
            <w:pPr>
              <w:pStyle w:val="TableContents"/>
              <w:bidi w:val="0"/>
              <w:spacing w:before="0" w:after="0"/>
              <w:jc w:val="left"/>
              <w:rPr/>
            </w:pPr>
            <w:r>
              <w:rPr/>
              <w:t> </w:t>
            </w:r>
          </w:p>
        </w:tc>
        <w:tc>
          <w:tcPr>
            <w:tcW w:w="225" w:type="dxa"/>
            <w:tcBorders/>
            <w:shd w:fill="F2F2F2" w:val="clear"/>
            <w:vAlign w:val="center"/>
          </w:tcPr>
          <w:p>
            <w:pPr>
              <w:pStyle w:val="TableContents"/>
              <w:bidi w:val="0"/>
              <w:spacing w:before="0" w:after="0"/>
              <w:jc w:val="left"/>
              <w:rPr/>
            </w:pPr>
            <w:r>
              <w:rPr/>
              <w:t> </w:t>
            </w:r>
          </w:p>
        </w:tc>
        <w:tc>
          <w:tcPr>
            <w:tcW w:w="225" w:type="dxa"/>
            <w:tcBorders/>
            <w:shd w:fill="F2F2F2" w:val="clear"/>
            <w:vAlign w:val="center"/>
          </w:tcPr>
          <w:p>
            <w:pPr>
              <w:pStyle w:val="TableContents"/>
              <w:bidi w:val="0"/>
              <w:spacing w:before="0" w:after="0"/>
              <w:jc w:val="left"/>
              <w:rPr/>
            </w:pPr>
            <w:r>
              <w:rPr/>
              <w:t> </w:t>
            </w:r>
          </w:p>
        </w:tc>
        <w:tc>
          <w:tcPr>
            <w:tcW w:w="2668" w:type="dxa"/>
            <w:tcBorders/>
            <w:shd w:fill="F2F2F2" w:val="clear"/>
            <w:vAlign w:val="center"/>
          </w:tcPr>
          <w:p>
            <w:pPr>
              <w:pStyle w:val="TableContents"/>
              <w:bidi w:val="0"/>
              <w:spacing w:before="0" w:after="0"/>
              <w:jc w:val="left"/>
              <w:rPr/>
            </w:pPr>
            <w:r>
              <w:rPr/>
              <w:t> </w:t>
            </w:r>
          </w:p>
        </w:tc>
        <w:tc>
          <w:tcPr>
            <w:tcW w:w="225" w:type="dxa"/>
            <w:tcBorders/>
            <w:shd w:fill="F2F2F2" w:val="clear"/>
            <w:vAlign w:val="center"/>
          </w:tcPr>
          <w:p>
            <w:pPr>
              <w:pStyle w:val="TableContents"/>
              <w:bidi w:val="0"/>
              <w:spacing w:before="0" w:after="0"/>
              <w:jc w:val="left"/>
              <w:rPr/>
            </w:pPr>
            <w:r>
              <w:rPr/>
              <w:t> </w:t>
            </w:r>
          </w:p>
        </w:tc>
        <w:tc>
          <w:tcPr>
            <w:tcW w:w="225" w:type="dxa"/>
            <w:tcBorders/>
            <w:shd w:fill="F2F2F2" w:val="clear"/>
            <w:vAlign w:val="center"/>
          </w:tcPr>
          <w:p>
            <w:pPr>
              <w:pStyle w:val="TableContents"/>
              <w:bidi w:val="0"/>
              <w:spacing w:before="0" w:after="0"/>
              <w:jc w:val="left"/>
              <w:rPr/>
            </w:pPr>
            <w:r>
              <w:rPr/>
              <w:t> </w:t>
            </w:r>
          </w:p>
        </w:tc>
        <w:tc>
          <w:tcPr>
            <w:tcW w:w="2782" w:type="dxa"/>
            <w:tcBorders/>
            <w:shd w:fill="F2F2F2" w:val="clear"/>
            <w:vAlign w:val="center"/>
          </w:tcPr>
          <w:p>
            <w:pPr>
              <w:pStyle w:val="TableContents"/>
              <w:bidi w:val="0"/>
              <w:spacing w:before="0" w:after="0"/>
              <w:jc w:val="left"/>
              <w:rPr/>
            </w:pPr>
            <w:r>
              <w:rPr/>
              <w:t> </w:t>
            </w:r>
          </w:p>
        </w:tc>
        <w:tc>
          <w:tcPr>
            <w:tcW w:w="222"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448" w:type="dxa"/>
            <w:gridSpan w:val="4"/>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Nominee</w:t>
            </w:r>
          </w:p>
        </w:tc>
        <w:tc>
          <w:tcPr>
            <w:tcW w:w="22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2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668"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Career Highlights</w:t>
            </w:r>
          </w:p>
        </w:tc>
        <w:tc>
          <w:tcPr>
            <w:tcW w:w="22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2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782"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Relevant Board Skills </w:t>
            </w:r>
          </w:p>
        </w:tc>
        <w:tc>
          <w:tcPr>
            <w:tcW w:w="222"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74" w:type="dxa"/>
            <w:tcBorders>
              <w:bottom w:val="single" w:sz="8" w:space="0" w:color="000000"/>
            </w:tcBorders>
            <w:tcMar>
              <w:bottom w:w="55" w:type="dxa"/>
            </w:tcMar>
            <w:vAlign w:val="center"/>
          </w:tcPr>
          <w:p>
            <w:pPr>
              <w:pStyle w:val="TableContents"/>
              <w:bidi w:val="0"/>
              <w:spacing w:before="0" w:after="283"/>
              <w:jc w:val="center"/>
              <w:rPr>
                <w:color w:val="000000"/>
              </w:rPr>
            </w:pPr>
            <w:r>
              <w:rPr>
                <w:color w:val="000000"/>
              </w:rPr>
              <w:drawing>
                <wp:inline distT="0" distB="0" distL="0" distR="0">
                  <wp:extent cx="733425" cy="733425"/>
                  <wp:effectExtent l="0" t="0" r="0" b="0"/>
                  <wp:docPr id="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2" descr=""/>
                          <pic:cNvPicPr>
                            <a:picLocks noChangeAspect="1" noChangeArrowheads="1"/>
                          </pic:cNvPicPr>
                        </pic:nvPicPr>
                        <pic:blipFill>
                          <a:blip r:embed="rId43"/>
                          <a:stretch>
                            <a:fillRect/>
                          </a:stretch>
                        </pic:blipFill>
                        <pic:spPr bwMode="auto">
                          <a:xfrm>
                            <a:off x="0" y="0"/>
                            <a:ext cx="733425" cy="733425"/>
                          </a:xfrm>
                          <a:prstGeom prst="rect">
                            <a:avLst/>
                          </a:prstGeom>
                        </pic:spPr>
                      </pic:pic>
                    </a:graphicData>
                  </a:graphic>
                </wp:inline>
              </w:drawing>
            </w:r>
          </w:p>
          <w:p>
            <w:pPr>
              <w:pStyle w:val="TableContents"/>
              <w:bidi w:val="0"/>
              <w:spacing w:before="0" w:after="283"/>
              <w:ind w:left="35" w:right="0" w:hanging="0"/>
              <w:jc w:val="left"/>
              <w:rPr>
                <w:color w:val="000000"/>
              </w:rPr>
            </w:pPr>
            <w:r>
              <w:rPr>
                <w:color w:val="000000"/>
              </w:rPr>
              <w:t> </w:t>
            </w:r>
          </w:p>
        </w:tc>
        <w:tc>
          <w:tcPr>
            <w:tcW w:w="225" w:type="dxa"/>
            <w:tcBorders>
              <w:bottom w:val="single" w:sz="8" w:space="0" w:color="000000"/>
            </w:tcBorders>
            <w:tcMar>
              <w:bottom w:w="28" w:type="dxa"/>
            </w:tcMar>
            <w:vAlign w:val="center"/>
          </w:tcPr>
          <w:p>
            <w:pPr>
              <w:pStyle w:val="TableContents"/>
              <w:bidi w:val="0"/>
              <w:spacing w:before="0" w:after="0"/>
              <w:jc w:val="left"/>
              <w:rPr/>
            </w:pPr>
            <w:r>
              <w:rPr/>
              <w:t> </w:t>
            </w:r>
          </w:p>
        </w:tc>
        <w:tc>
          <w:tcPr>
            <w:tcW w:w="225" w:type="dxa"/>
            <w:tcBorders>
              <w:bottom w:val="single" w:sz="8" w:space="0" w:color="000000"/>
            </w:tcBorders>
            <w:tcMar>
              <w:bottom w:w="28" w:type="dxa"/>
            </w:tcMar>
            <w:vAlign w:val="center"/>
          </w:tcPr>
          <w:p>
            <w:pPr>
              <w:pStyle w:val="TableContents"/>
              <w:bidi w:val="0"/>
              <w:spacing w:before="0" w:after="0"/>
              <w:jc w:val="left"/>
              <w:rPr/>
            </w:pPr>
            <w:r>
              <w:rPr/>
              <w:t> </w:t>
            </w:r>
          </w:p>
        </w:tc>
        <w:tc>
          <w:tcPr>
            <w:tcW w:w="1424"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Michael Spanos, 61 (I)</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CEO, Bloomin’ Brands, Inc.</w:t>
            </w:r>
          </w:p>
        </w:tc>
        <w:tc>
          <w:tcPr>
            <w:tcW w:w="225"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25" w:type="dxa"/>
            <w:tcBorders>
              <w:bottom w:val="single" w:sz="8" w:space="0" w:color="000000"/>
            </w:tcBorders>
            <w:tcMar>
              <w:bottom w:w="28" w:type="dxa"/>
            </w:tcMar>
            <w:vAlign w:val="center"/>
          </w:tcPr>
          <w:p>
            <w:pPr>
              <w:pStyle w:val="TableContents"/>
              <w:bidi w:val="0"/>
              <w:spacing w:before="0" w:after="0"/>
              <w:jc w:val="left"/>
              <w:rPr/>
            </w:pPr>
            <w:r>
              <w:rPr/>
              <w:t> </w:t>
            </w:r>
          </w:p>
        </w:tc>
        <w:tc>
          <w:tcPr>
            <w:tcW w:w="2668"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Bloomin’ Brands,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CEO (2024-Present)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Delta Air Lines,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COO (2023-2024)</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Six Flags Entertainment,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President/CEO (2019-2021)</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PepsiCo,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CEO, Asia, Middle East and North Africa (2018-2019)</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President/CEO, Greater China Region (2014-2018)</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SVP/CCO, North America Beverages (2011-2014)</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Management/leadership positions (1993-2011)</w:t>
            </w:r>
          </w:p>
        </w:tc>
        <w:tc>
          <w:tcPr>
            <w:tcW w:w="225"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25" w:type="dxa"/>
            <w:tcBorders>
              <w:bottom w:val="single" w:sz="8" w:space="0" w:color="000000"/>
            </w:tcBorders>
            <w:tcMar>
              <w:bottom w:w="28" w:type="dxa"/>
            </w:tcMar>
            <w:vAlign w:val="center"/>
          </w:tcPr>
          <w:p>
            <w:pPr>
              <w:pStyle w:val="TableContents"/>
              <w:bidi w:val="0"/>
              <w:spacing w:before="0" w:after="0"/>
              <w:jc w:val="left"/>
              <w:rPr/>
            </w:pPr>
            <w:r>
              <w:rPr/>
              <w:t> </w:t>
            </w:r>
          </w:p>
        </w:tc>
        <w:tc>
          <w:tcPr>
            <w:tcW w:w="2782" w:type="dxa"/>
            <w:tcBorders>
              <w:bottom w:val="single" w:sz="8" w:space="0" w:color="000000"/>
            </w:tcBorders>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Public Company CEO Experience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Senior Business Operations Leadership</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Consumer Products, Retail</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Digital Marketing, E-Commerce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Marketing, Brand Management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Supply Chain, Logistics, Distribution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Capital Markets, Investment Banking, Asset Management, IR</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Public Policy, Government Affairs, Regulatory, Compliance, Legal</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Finance, Accounting, Financial Reporting</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Risk Management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 xml:space="preserve">Corporate Strategy </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798" w:type="dxa"/>
            <w:gridSpan w:val="10"/>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Mr. Spanos, currently CEO of Bloomin’ Brands, Inc., one of the world’s largest casual dining companies, is a seasoned global executive, bringing over 25 years of frontline leadership, strategy, operations, and retail consumer products experience to the Board. Previously, he was COO of Delta Air Lines, Inc., one of the world’s largest airlines, from 2023-2024. From 2019-2021, Mr. Spanos was the President and CEO of Six Flags Entertainment, Inc., a leading entertainment provider, where he guided the company through the pandemic and a digital and customer-focused transformation. Prior to Six Flags, Mr. Spanos served as the Chief Executive Officer, Asia, Middle East and North Africa, of PepsiCo, Inc., a leading global food and beverage company, from January 2018 to November 2019. Mr. Spanos previously served as interim head of PepsiCo, Inc.’s Asia, Middle East and North Africa division from October 2017 to January 2018 and as President and Chief Executive Officer, PepsiCo Greater China Region, from September 2014 to January 2018. Prior to that, Mr. Spanos served as Senior Vice President and Chief Customer Officer, PepsiCo North America Beverages from October 2011 to September 2014. Mr. Spanos previously held management roles of increasing responsibility at PepsiCo, Inc. since 1993 in North America, Europe, Asia, and the Middle East. </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9798" w:type="dxa"/>
            <w:gridSpan w:val="10"/>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Director since</w:t>
            </w:r>
            <w:r>
              <w:rPr>
                <w:rFonts w:ascii="Times New Roman;Times;serif" w:hAnsi="Times New Roman;Times;serif"/>
                <w:b w:val="false"/>
                <w:color w:val="000000"/>
                <w:sz w:val="18"/>
              </w:rPr>
              <w:t xml:space="preserve">: 2022, </w:t>
            </w:r>
            <w:r>
              <w:rPr>
                <w:rFonts w:ascii="Times New Roman;Times;serif" w:hAnsi="Times New Roman;Times;serif"/>
                <w:b/>
                <w:color w:val="000000"/>
                <w:sz w:val="18"/>
              </w:rPr>
              <w:t>Committees</w:t>
            </w:r>
            <w:r>
              <w:rPr>
                <w:rFonts w:ascii="Times New Roman;Times;serif" w:hAnsi="Times New Roman;Times;serif"/>
                <w:b w:val="false"/>
                <w:color w:val="000000"/>
                <w:sz w:val="18"/>
              </w:rPr>
              <w:t xml:space="preserve">: A*, </w:t>
            </w:r>
            <w:r>
              <w:rPr>
                <w:rFonts w:ascii="Times New Roman;Times;serif" w:hAnsi="Times New Roman;Times;serif"/>
                <w:b/>
                <w:color w:val="000000"/>
                <w:sz w:val="18"/>
              </w:rPr>
              <w:t>Other public boards</w:t>
            </w:r>
            <w:r>
              <w:rPr>
                <w:rFonts w:ascii="Times New Roman;Times;serif" w:hAnsi="Times New Roman;Times;serif"/>
                <w:b w:val="false"/>
                <w:color w:val="000000"/>
                <w:sz w:val="18"/>
              </w:rPr>
              <w:t>: Six Flags Entertainment (2019-2021), Bloomin’ Brands, Inc. (2024-Present)</w:t>
            </w:r>
          </w:p>
        </w:tc>
        <w:tc>
          <w:tcPr>
            <w:tcW w:w="222"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798" w:type="dxa"/>
            <w:gridSpan w:val="10"/>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22"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505"/>
        <w:gridCol w:w="215"/>
        <w:gridCol w:w="215"/>
        <w:gridCol w:w="1446"/>
        <w:gridCol w:w="215"/>
        <w:gridCol w:w="215"/>
        <w:gridCol w:w="3037"/>
        <w:gridCol w:w="215"/>
        <w:gridCol w:w="215"/>
        <w:gridCol w:w="2520"/>
        <w:gridCol w:w="222"/>
      </w:tblGrid>
      <w:tr>
        <w:trPr/>
        <w:tc>
          <w:tcPr>
            <w:tcW w:w="185" w:type="dxa"/>
            <w:tcBorders/>
            <w:shd w:fill="F2F2F2" w:val="clear"/>
            <w:vAlign w:val="center"/>
          </w:tcPr>
          <w:p>
            <w:pPr>
              <w:pStyle w:val="TableContents"/>
              <w:bidi w:val="0"/>
              <w:spacing w:before="0" w:after="0"/>
              <w:jc w:val="left"/>
              <w:rPr/>
            </w:pPr>
            <w:r>
              <w:rPr/>
              <w:t> </w:t>
            </w:r>
          </w:p>
        </w:tc>
        <w:tc>
          <w:tcPr>
            <w:tcW w:w="3381" w:type="dxa"/>
            <w:gridSpan w:val="4"/>
            <w:tcBorders/>
            <w:shd w:fill="F2F2F2" w:val="clear"/>
            <w:vAlign w:val="center"/>
          </w:tcPr>
          <w:p>
            <w:pPr>
              <w:pStyle w:val="TableContents"/>
              <w:bidi w:val="0"/>
              <w:spacing w:before="0" w:after="0"/>
              <w:jc w:val="left"/>
              <w:rPr/>
            </w:pPr>
            <w:r>
              <w:rPr/>
              <w:t> </w:t>
            </w:r>
          </w:p>
        </w:tc>
        <w:tc>
          <w:tcPr>
            <w:tcW w:w="215" w:type="dxa"/>
            <w:tcBorders/>
            <w:shd w:fill="F2F2F2" w:val="clear"/>
            <w:vAlign w:val="center"/>
          </w:tcPr>
          <w:p>
            <w:pPr>
              <w:pStyle w:val="TableContents"/>
              <w:bidi w:val="0"/>
              <w:spacing w:before="0" w:after="0"/>
              <w:jc w:val="left"/>
              <w:rPr/>
            </w:pPr>
            <w:r>
              <w:rPr/>
              <w:t> </w:t>
            </w:r>
          </w:p>
        </w:tc>
        <w:tc>
          <w:tcPr>
            <w:tcW w:w="215" w:type="dxa"/>
            <w:tcBorders/>
            <w:shd w:fill="F2F2F2" w:val="clear"/>
            <w:vAlign w:val="center"/>
          </w:tcPr>
          <w:p>
            <w:pPr>
              <w:pStyle w:val="TableContents"/>
              <w:bidi w:val="0"/>
              <w:spacing w:before="0" w:after="0"/>
              <w:jc w:val="left"/>
              <w:rPr/>
            </w:pPr>
            <w:r>
              <w:rPr/>
              <w:t> </w:t>
            </w:r>
          </w:p>
        </w:tc>
        <w:tc>
          <w:tcPr>
            <w:tcW w:w="3037" w:type="dxa"/>
            <w:tcBorders/>
            <w:shd w:fill="F2F2F2" w:val="clear"/>
            <w:vAlign w:val="center"/>
          </w:tcPr>
          <w:p>
            <w:pPr>
              <w:pStyle w:val="TableContents"/>
              <w:bidi w:val="0"/>
              <w:spacing w:before="0" w:after="0"/>
              <w:jc w:val="left"/>
              <w:rPr/>
            </w:pPr>
            <w:r>
              <w:rPr/>
              <w:t> </w:t>
            </w:r>
          </w:p>
        </w:tc>
        <w:tc>
          <w:tcPr>
            <w:tcW w:w="215" w:type="dxa"/>
            <w:tcBorders/>
            <w:shd w:fill="F2F2F2" w:val="clear"/>
            <w:vAlign w:val="center"/>
          </w:tcPr>
          <w:p>
            <w:pPr>
              <w:pStyle w:val="TableContents"/>
              <w:bidi w:val="0"/>
              <w:spacing w:before="0" w:after="0"/>
              <w:jc w:val="left"/>
              <w:rPr/>
            </w:pPr>
            <w:r>
              <w:rPr/>
              <w:t> </w:t>
            </w:r>
          </w:p>
        </w:tc>
        <w:tc>
          <w:tcPr>
            <w:tcW w:w="215" w:type="dxa"/>
            <w:tcBorders/>
            <w:shd w:fill="F2F2F2" w:val="clear"/>
            <w:vAlign w:val="center"/>
          </w:tcPr>
          <w:p>
            <w:pPr>
              <w:pStyle w:val="TableContents"/>
              <w:bidi w:val="0"/>
              <w:spacing w:before="0" w:after="0"/>
              <w:jc w:val="left"/>
              <w:rPr/>
            </w:pPr>
            <w:r>
              <w:rPr/>
              <w:t> </w:t>
            </w:r>
          </w:p>
        </w:tc>
        <w:tc>
          <w:tcPr>
            <w:tcW w:w="2520" w:type="dxa"/>
            <w:tcBorders/>
            <w:shd w:fill="F2F2F2" w:val="clear"/>
            <w:vAlign w:val="center"/>
          </w:tcPr>
          <w:p>
            <w:pPr>
              <w:pStyle w:val="TableContents"/>
              <w:bidi w:val="0"/>
              <w:spacing w:before="0" w:after="0"/>
              <w:jc w:val="left"/>
              <w:rPr/>
            </w:pPr>
            <w:r>
              <w:rPr/>
              <w:t> </w:t>
            </w:r>
          </w:p>
        </w:tc>
        <w:tc>
          <w:tcPr>
            <w:tcW w:w="222"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381" w:type="dxa"/>
            <w:gridSpan w:val="4"/>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Nominee</w:t>
            </w:r>
          </w:p>
        </w:tc>
        <w:tc>
          <w:tcPr>
            <w:tcW w:w="21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037"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Career Highlights</w:t>
            </w:r>
          </w:p>
        </w:tc>
        <w:tc>
          <w:tcPr>
            <w:tcW w:w="21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520"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Relevant Board Skills </w:t>
            </w:r>
          </w:p>
        </w:tc>
        <w:tc>
          <w:tcPr>
            <w:tcW w:w="222"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05" w:type="dxa"/>
            <w:tcBorders>
              <w:bottom w:val="single" w:sz="8" w:space="0" w:color="000000"/>
            </w:tcBorders>
            <w:tcMar>
              <w:bottom w:w="55" w:type="dxa"/>
            </w:tcMar>
            <w:vAlign w:val="center"/>
          </w:tcPr>
          <w:p>
            <w:pPr>
              <w:pStyle w:val="TableContents"/>
              <w:bidi w:val="0"/>
              <w:spacing w:before="0" w:after="283"/>
              <w:jc w:val="center"/>
              <w:rPr>
                <w:color w:val="000000"/>
              </w:rPr>
            </w:pPr>
            <w:r>
              <w:rPr>
                <w:color w:val="000000"/>
              </w:rPr>
              <w:drawing>
                <wp:inline distT="0" distB="0" distL="0" distR="0">
                  <wp:extent cx="733425" cy="733425"/>
                  <wp:effectExtent l="0" t="0" r="0" b="0"/>
                  <wp:docPr id="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3" descr=""/>
                          <pic:cNvPicPr>
                            <a:picLocks noChangeAspect="1" noChangeArrowheads="1"/>
                          </pic:cNvPicPr>
                        </pic:nvPicPr>
                        <pic:blipFill>
                          <a:blip r:embed="rId44"/>
                          <a:stretch>
                            <a:fillRect/>
                          </a:stretch>
                        </pic:blipFill>
                        <pic:spPr bwMode="auto">
                          <a:xfrm>
                            <a:off x="0" y="0"/>
                            <a:ext cx="733425" cy="733425"/>
                          </a:xfrm>
                          <a:prstGeom prst="rect">
                            <a:avLst/>
                          </a:prstGeom>
                        </pic:spPr>
                      </pic:pic>
                    </a:graphicData>
                  </a:graphic>
                </wp:inline>
              </w:drawing>
            </w:r>
          </w:p>
          <w:p>
            <w:pPr>
              <w:pStyle w:val="TableContents"/>
              <w:bidi w:val="0"/>
              <w:spacing w:before="0" w:after="283"/>
              <w:ind w:left="35" w:right="0" w:hanging="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c>
          <w:tcPr>
            <w:tcW w:w="1446"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Stanley J. Sutula III, 60 (I)</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CFO, Colgate-Palmolive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Company</w:t>
            </w:r>
          </w:p>
        </w:tc>
        <w:tc>
          <w:tcPr>
            <w:tcW w:w="215"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c>
          <w:tcPr>
            <w:tcW w:w="3037"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Colgate-Palmolive Company</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CFO (2020-Present)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Pitney Bowes,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EVP/CFO (2017-2020)</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IBM</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VP/Controller (2015-2017)</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VP/Treasurer (2014-2015)</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VP Finance &amp; Planning, Global Technology Services (2008-2014)</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VP Finance &amp; Planning, Americas Geography (2006-2008)</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Management/leadership positions (1998-2006)</w:t>
            </w:r>
          </w:p>
        </w:tc>
        <w:tc>
          <w:tcPr>
            <w:tcW w:w="215"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c>
          <w:tcPr>
            <w:tcW w:w="2520" w:type="dxa"/>
            <w:tcBorders>
              <w:bottom w:val="single" w:sz="8" w:space="0" w:color="000000"/>
            </w:tcBorders>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Senior Business Operations Leadership</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Consumer Products, Retail</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Capital Markets, Investment Banking, Asset Management, IR</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M&amp;A</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IT, Security</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Finance, Accounting, Financial Reporting</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Risk Management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 xml:space="preserve">Corporate Strategy </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798" w:type="dxa"/>
            <w:gridSpan w:val="10"/>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Mr. Sutula brings to the Board over 35 years of experience in corporate finance, financial planning and operations, tax, strategic planning and risk management. Since 2020, he has served as Chief Financial Officer at Colgate-Palmolive Company, a global leader in consumer and household products, where he oversees its global finance, global IT and mergers and acquisitions teams. He was previously at Pitney Bowes Inc., a leading provider of digital shipping solutions and mailing services, where he served as Executive VP and Chief Financial Officer, and spent 28 years at IBM Corporation, a multi-national technology and consulting company, in various financial management roles, including as its VP and Controller and VP and Treasurer. </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9798" w:type="dxa"/>
            <w:gridSpan w:val="10"/>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Director since</w:t>
            </w:r>
            <w:r>
              <w:rPr>
                <w:rFonts w:ascii="Times New Roman;Times;serif" w:hAnsi="Times New Roman;Times;serif"/>
                <w:b w:val="false"/>
                <w:color w:val="000000"/>
                <w:sz w:val="18"/>
              </w:rPr>
              <w:t xml:space="preserve">: 2026, </w:t>
            </w:r>
            <w:r>
              <w:rPr>
                <w:rFonts w:ascii="Times New Roman;Times;serif" w:hAnsi="Times New Roman;Times;serif"/>
                <w:b/>
                <w:color w:val="000000"/>
                <w:sz w:val="18"/>
              </w:rPr>
              <w:t>Committees</w:t>
            </w:r>
            <w:r>
              <w:rPr>
                <w:rFonts w:ascii="Times New Roman;Times;serif" w:hAnsi="Times New Roman;Times;serif"/>
                <w:b w:val="false"/>
                <w:color w:val="000000"/>
                <w:sz w:val="18"/>
              </w:rPr>
              <w:t xml:space="preserve">: A*, </w:t>
            </w:r>
            <w:r>
              <w:rPr>
                <w:rFonts w:ascii="Times New Roman;Times;serif" w:hAnsi="Times New Roman;Times;serif"/>
                <w:b/>
                <w:color w:val="000000"/>
                <w:sz w:val="18"/>
              </w:rPr>
              <w:t>Other public boards</w:t>
            </w:r>
            <w:r>
              <w:rPr>
                <w:rFonts w:ascii="Times New Roman;Times;serif" w:hAnsi="Times New Roman;Times;serif"/>
                <w:b w:val="false"/>
                <w:color w:val="000000"/>
                <w:sz w:val="18"/>
              </w:rPr>
              <w:t>: Avaya (2017-2023)</w:t>
            </w:r>
          </w:p>
        </w:tc>
        <w:tc>
          <w:tcPr>
            <w:tcW w:w="222"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798" w:type="dxa"/>
            <w:gridSpan w:val="10"/>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22"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4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4" descr=""/>
                          <pic:cNvPicPr>
                            <a:picLocks noChangeAspect="1" noChangeArrowheads="1"/>
                          </pic:cNvPicPr>
                        </pic:nvPicPr>
                        <pic:blipFill>
                          <a:blip r:embed="rId45"/>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6" w:name="ny20072699x1_def14a_105-prop1_pg8"/>
        <w:bookmarkEnd w:id="3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685"/>
        <w:gridCol w:w="241"/>
        <w:gridCol w:w="241"/>
        <w:gridCol w:w="1831"/>
        <w:gridCol w:w="241"/>
        <w:gridCol w:w="241"/>
        <w:gridCol w:w="2476"/>
        <w:gridCol w:w="241"/>
        <w:gridCol w:w="241"/>
        <w:gridCol w:w="2360"/>
        <w:gridCol w:w="222"/>
      </w:tblGrid>
      <w:tr>
        <w:trPr/>
        <w:tc>
          <w:tcPr>
            <w:tcW w:w="185" w:type="dxa"/>
            <w:tcBorders/>
            <w:shd w:fill="F2F2F2" w:val="clear"/>
            <w:vAlign w:val="center"/>
          </w:tcPr>
          <w:p>
            <w:pPr>
              <w:pStyle w:val="TableContents"/>
              <w:bidi w:val="0"/>
              <w:spacing w:before="0" w:after="0"/>
              <w:jc w:val="left"/>
              <w:rPr/>
            </w:pPr>
            <w:r>
              <w:rPr/>
              <w:t> </w:t>
            </w:r>
          </w:p>
        </w:tc>
        <w:tc>
          <w:tcPr>
            <w:tcW w:w="3998" w:type="dxa"/>
            <w:gridSpan w:val="4"/>
            <w:tcBorders/>
            <w:shd w:fill="F2F2F2" w:val="clear"/>
            <w:vAlign w:val="center"/>
          </w:tcPr>
          <w:p>
            <w:pPr>
              <w:pStyle w:val="TableContents"/>
              <w:bidi w:val="0"/>
              <w:spacing w:before="0" w:after="0"/>
              <w:jc w:val="left"/>
              <w:rPr/>
            </w:pPr>
            <w:r>
              <w:rPr/>
              <w:t> </w:t>
            </w:r>
          </w:p>
        </w:tc>
        <w:tc>
          <w:tcPr>
            <w:tcW w:w="241" w:type="dxa"/>
            <w:tcBorders/>
            <w:shd w:fill="F2F2F2" w:val="clear"/>
            <w:vAlign w:val="center"/>
          </w:tcPr>
          <w:p>
            <w:pPr>
              <w:pStyle w:val="TableContents"/>
              <w:bidi w:val="0"/>
              <w:spacing w:before="0" w:after="0"/>
              <w:jc w:val="left"/>
              <w:rPr/>
            </w:pPr>
            <w:r>
              <w:rPr/>
              <w:t> </w:t>
            </w:r>
          </w:p>
        </w:tc>
        <w:tc>
          <w:tcPr>
            <w:tcW w:w="241" w:type="dxa"/>
            <w:tcBorders/>
            <w:shd w:fill="F2F2F2" w:val="clear"/>
            <w:vAlign w:val="center"/>
          </w:tcPr>
          <w:p>
            <w:pPr>
              <w:pStyle w:val="TableContents"/>
              <w:bidi w:val="0"/>
              <w:spacing w:before="0" w:after="0"/>
              <w:jc w:val="left"/>
              <w:rPr/>
            </w:pPr>
            <w:r>
              <w:rPr/>
              <w:t> </w:t>
            </w:r>
          </w:p>
        </w:tc>
        <w:tc>
          <w:tcPr>
            <w:tcW w:w="2476" w:type="dxa"/>
            <w:tcBorders/>
            <w:shd w:fill="F2F2F2" w:val="clear"/>
            <w:vAlign w:val="center"/>
          </w:tcPr>
          <w:p>
            <w:pPr>
              <w:pStyle w:val="TableContents"/>
              <w:bidi w:val="0"/>
              <w:spacing w:before="0" w:after="0"/>
              <w:jc w:val="left"/>
              <w:rPr/>
            </w:pPr>
            <w:r>
              <w:rPr/>
              <w:t> </w:t>
            </w:r>
          </w:p>
        </w:tc>
        <w:tc>
          <w:tcPr>
            <w:tcW w:w="241" w:type="dxa"/>
            <w:tcBorders/>
            <w:shd w:fill="F2F2F2" w:val="clear"/>
            <w:vAlign w:val="center"/>
          </w:tcPr>
          <w:p>
            <w:pPr>
              <w:pStyle w:val="TableContents"/>
              <w:bidi w:val="0"/>
              <w:spacing w:before="0" w:after="0"/>
              <w:jc w:val="left"/>
              <w:rPr/>
            </w:pPr>
            <w:r>
              <w:rPr/>
              <w:t> </w:t>
            </w:r>
          </w:p>
        </w:tc>
        <w:tc>
          <w:tcPr>
            <w:tcW w:w="241" w:type="dxa"/>
            <w:tcBorders/>
            <w:shd w:fill="F2F2F2" w:val="clear"/>
            <w:vAlign w:val="center"/>
          </w:tcPr>
          <w:p>
            <w:pPr>
              <w:pStyle w:val="TableContents"/>
              <w:bidi w:val="0"/>
              <w:spacing w:before="0" w:after="0"/>
              <w:jc w:val="left"/>
              <w:rPr/>
            </w:pPr>
            <w:r>
              <w:rPr/>
              <w:t> </w:t>
            </w:r>
          </w:p>
        </w:tc>
        <w:tc>
          <w:tcPr>
            <w:tcW w:w="2360" w:type="dxa"/>
            <w:tcBorders/>
            <w:shd w:fill="F2F2F2" w:val="clear"/>
            <w:vAlign w:val="center"/>
          </w:tcPr>
          <w:p>
            <w:pPr>
              <w:pStyle w:val="TableContents"/>
              <w:bidi w:val="0"/>
              <w:spacing w:before="0" w:after="0"/>
              <w:jc w:val="left"/>
              <w:rPr/>
            </w:pPr>
            <w:r>
              <w:rPr/>
              <w:t> </w:t>
            </w:r>
          </w:p>
        </w:tc>
        <w:tc>
          <w:tcPr>
            <w:tcW w:w="222"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998" w:type="dxa"/>
            <w:gridSpan w:val="4"/>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Nominee</w:t>
            </w:r>
          </w:p>
        </w:tc>
        <w:tc>
          <w:tcPr>
            <w:tcW w:w="241"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41"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476"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Career Highlights</w:t>
            </w:r>
          </w:p>
        </w:tc>
        <w:tc>
          <w:tcPr>
            <w:tcW w:w="241"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41"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360"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Relevant Board Skills </w:t>
            </w:r>
          </w:p>
        </w:tc>
        <w:tc>
          <w:tcPr>
            <w:tcW w:w="222"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85" w:type="dxa"/>
            <w:tcBorders>
              <w:bottom w:val="single" w:sz="8" w:space="0" w:color="000000"/>
            </w:tcBorders>
            <w:tcMar>
              <w:bottom w:w="55" w:type="dxa"/>
            </w:tcMar>
            <w:vAlign w:val="center"/>
          </w:tcPr>
          <w:p>
            <w:pPr>
              <w:pStyle w:val="TableContents"/>
              <w:bidi w:val="0"/>
              <w:spacing w:before="0" w:after="283"/>
              <w:jc w:val="center"/>
              <w:rPr>
                <w:color w:val="000000"/>
              </w:rPr>
            </w:pPr>
            <w:r>
              <w:rPr>
                <w:color w:val="000000"/>
              </w:rPr>
              <w:drawing>
                <wp:inline distT="0" distB="0" distL="0" distR="0">
                  <wp:extent cx="733425" cy="733425"/>
                  <wp:effectExtent l="0" t="0" r="0" b="0"/>
                  <wp:docPr id="4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5" descr=""/>
                          <pic:cNvPicPr>
                            <a:picLocks noChangeAspect="1" noChangeArrowheads="1"/>
                          </pic:cNvPicPr>
                        </pic:nvPicPr>
                        <pic:blipFill>
                          <a:blip r:embed="rId46"/>
                          <a:stretch>
                            <a:fillRect/>
                          </a:stretch>
                        </pic:blipFill>
                        <pic:spPr bwMode="auto">
                          <a:xfrm>
                            <a:off x="0" y="0"/>
                            <a:ext cx="733425" cy="733425"/>
                          </a:xfrm>
                          <a:prstGeom prst="rect">
                            <a:avLst/>
                          </a:prstGeom>
                        </pic:spPr>
                      </pic:pic>
                    </a:graphicData>
                  </a:graphic>
                </wp:inline>
              </w:drawing>
            </w:r>
          </w:p>
          <w:p>
            <w:pPr>
              <w:pStyle w:val="TableContents"/>
              <w:bidi w:val="0"/>
              <w:spacing w:before="0" w:after="283"/>
              <w:ind w:left="35" w:right="0" w:hanging="0"/>
              <w:jc w:val="left"/>
              <w:rPr>
                <w:color w:val="000000"/>
              </w:rPr>
            </w:pPr>
            <w:r>
              <w:rPr>
                <w:color w:val="000000"/>
              </w:rPr>
              <w:t> </w:t>
            </w:r>
          </w:p>
        </w:tc>
        <w:tc>
          <w:tcPr>
            <w:tcW w:w="241" w:type="dxa"/>
            <w:tcBorders>
              <w:bottom w:val="single" w:sz="8" w:space="0" w:color="000000"/>
            </w:tcBorders>
            <w:tcMar>
              <w:bottom w:w="28" w:type="dxa"/>
            </w:tcMar>
            <w:vAlign w:val="center"/>
          </w:tcPr>
          <w:p>
            <w:pPr>
              <w:pStyle w:val="TableContents"/>
              <w:bidi w:val="0"/>
              <w:spacing w:before="0" w:after="0"/>
              <w:jc w:val="left"/>
              <w:rPr/>
            </w:pPr>
            <w:r>
              <w:rPr/>
              <w:t> </w:t>
            </w:r>
          </w:p>
        </w:tc>
        <w:tc>
          <w:tcPr>
            <w:tcW w:w="241" w:type="dxa"/>
            <w:tcBorders>
              <w:bottom w:val="single" w:sz="8" w:space="0" w:color="000000"/>
            </w:tcBorders>
            <w:tcMar>
              <w:bottom w:w="28" w:type="dxa"/>
            </w:tcMar>
            <w:vAlign w:val="center"/>
          </w:tcPr>
          <w:p>
            <w:pPr>
              <w:pStyle w:val="TableContents"/>
              <w:bidi w:val="0"/>
              <w:spacing w:before="0" w:after="0"/>
              <w:jc w:val="left"/>
              <w:rPr/>
            </w:pPr>
            <w:r>
              <w:rPr/>
              <w:t> </w:t>
            </w:r>
          </w:p>
        </w:tc>
        <w:tc>
          <w:tcPr>
            <w:tcW w:w="1831"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Gregory A. Trojan, 67 (I)</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Former CEO,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BJ’s Restaurants, Inc.</w:t>
            </w:r>
          </w:p>
        </w:tc>
        <w:tc>
          <w:tcPr>
            <w:tcW w:w="24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1" w:type="dxa"/>
            <w:tcBorders>
              <w:bottom w:val="single" w:sz="8" w:space="0" w:color="000000"/>
            </w:tcBorders>
            <w:tcMar>
              <w:bottom w:w="28" w:type="dxa"/>
            </w:tcMar>
            <w:vAlign w:val="center"/>
          </w:tcPr>
          <w:p>
            <w:pPr>
              <w:pStyle w:val="TableContents"/>
              <w:bidi w:val="0"/>
              <w:spacing w:before="0" w:after="0"/>
              <w:jc w:val="left"/>
              <w:rPr/>
            </w:pPr>
            <w:r>
              <w:rPr/>
              <w:t> </w:t>
            </w:r>
          </w:p>
        </w:tc>
        <w:tc>
          <w:tcPr>
            <w:tcW w:w="2476"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BJ’s Restaurants,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CEO (2013-2022)</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President (2012-2018)</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Guitar Center,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President/CEO (2010-2012)</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President/COO (2007-2010)</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House of Blues Entertainment,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CEO (1998-2006)</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President (1996-1998)</w:t>
            </w:r>
          </w:p>
        </w:tc>
        <w:tc>
          <w:tcPr>
            <w:tcW w:w="24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1" w:type="dxa"/>
            <w:tcBorders>
              <w:bottom w:val="single" w:sz="8" w:space="0" w:color="000000"/>
            </w:tcBorders>
            <w:tcMar>
              <w:bottom w:w="28" w:type="dxa"/>
            </w:tcMar>
            <w:vAlign w:val="center"/>
          </w:tcPr>
          <w:p>
            <w:pPr>
              <w:pStyle w:val="TableContents"/>
              <w:bidi w:val="0"/>
              <w:spacing w:before="0" w:after="0"/>
              <w:jc w:val="left"/>
              <w:rPr/>
            </w:pPr>
            <w:r>
              <w:rPr/>
              <w:t> </w:t>
            </w:r>
          </w:p>
        </w:tc>
        <w:tc>
          <w:tcPr>
            <w:tcW w:w="2360" w:type="dxa"/>
            <w:tcBorders>
              <w:bottom w:val="single" w:sz="8" w:space="0" w:color="000000"/>
            </w:tcBorders>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Public Company CEO Experience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Senior Business Operations Leadership</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Consumer Products, Retail</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Restaurant and Food Service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Real Estate, Development, Construction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Marketing, Brand Management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M&amp;A</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Finance, Accounting, Financial Reporting</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 xml:space="preserve">Corporate Strategy </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798" w:type="dxa"/>
            <w:gridSpan w:val="10"/>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Mr. Trojan has over 25 years of experience leading national restaurant, retail and consumer products companies. He most recently served as CEO, and is currently a director of, BJ’s Restaurants, Inc., the owner and operator of over 200 casual dining restaurants throughout the U.S., where he also served as President from 2012 through 2018. Mr. Trojan was previously employed by Guitar Center, Inc., a leading retailer of musical instrument products, where he served as President, CEO and director from 2010 to 2012 and as President, COO and director from 2007 to 2010. From 1998 to 2006, Mr. Trojan served as CEO of House of Blues Entertainment, Inc., an operator of restaurant and music venues, concerts and media properties, having served as President from 1996 to 1998. Prior to that, he held various positions with PepsiCo, Inc. from 1990 to 1996, including service as CEO of California Pizza Kitchen, Inc. when it was owned by PepsiCo. Earlier in his career, Mr. Trojan was a consultant at Bain &amp; Company, the Wharton Small Business Development Center and Arthur Andersen &amp; Company. </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9798" w:type="dxa"/>
            <w:gridSpan w:val="10"/>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Director since</w:t>
            </w:r>
            <w:r>
              <w:rPr>
                <w:rFonts w:ascii="Times New Roman;Times;serif" w:hAnsi="Times New Roman;Times;serif"/>
                <w:b w:val="false"/>
                <w:color w:val="000000"/>
                <w:sz w:val="18"/>
              </w:rPr>
              <w:t xml:space="preserve">: 2021, </w:t>
            </w:r>
            <w:r>
              <w:rPr>
                <w:rFonts w:ascii="Times New Roman;Times;serif" w:hAnsi="Times New Roman;Times;serif"/>
                <w:b/>
                <w:color w:val="000000"/>
                <w:sz w:val="18"/>
              </w:rPr>
              <w:t>Committees</w:t>
            </w:r>
            <w:r>
              <w:rPr>
                <w:rFonts w:ascii="Times New Roman;Times;serif" w:hAnsi="Times New Roman;Times;serif"/>
                <w:b w:val="false"/>
                <w:color w:val="000000"/>
                <w:sz w:val="18"/>
              </w:rPr>
              <w:t xml:space="preserve">: C/HC (Chair)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Other public boards</w:t>
            </w:r>
            <w:r>
              <w:rPr>
                <w:rFonts w:ascii="Times New Roman;Times;serif" w:hAnsi="Times New Roman;Times;serif"/>
                <w:b w:val="false"/>
                <w:color w:val="000000"/>
                <w:sz w:val="18"/>
              </w:rPr>
              <w:t>: BJ’s Restaurants, Inc. (2012-Present), Universal Corporation (2025-Present)</w:t>
            </w:r>
          </w:p>
        </w:tc>
        <w:tc>
          <w:tcPr>
            <w:tcW w:w="222"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798" w:type="dxa"/>
            <w:gridSpan w:val="10"/>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22"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741"/>
        <w:gridCol w:w="249"/>
        <w:gridCol w:w="249"/>
        <w:gridCol w:w="1526"/>
        <w:gridCol w:w="249"/>
        <w:gridCol w:w="249"/>
        <w:gridCol w:w="2606"/>
        <w:gridCol w:w="249"/>
        <w:gridCol w:w="249"/>
        <w:gridCol w:w="2431"/>
        <w:gridCol w:w="222"/>
      </w:tblGrid>
      <w:tr>
        <w:trPr/>
        <w:tc>
          <w:tcPr>
            <w:tcW w:w="185" w:type="dxa"/>
            <w:tcBorders/>
            <w:shd w:fill="F2F2F2" w:val="clear"/>
            <w:vAlign w:val="center"/>
          </w:tcPr>
          <w:p>
            <w:pPr>
              <w:pStyle w:val="TableContents"/>
              <w:bidi w:val="0"/>
              <w:spacing w:before="0" w:after="0"/>
              <w:jc w:val="left"/>
              <w:rPr/>
            </w:pPr>
            <w:r>
              <w:rPr/>
              <w:t> </w:t>
            </w:r>
          </w:p>
        </w:tc>
        <w:tc>
          <w:tcPr>
            <w:tcW w:w="3765" w:type="dxa"/>
            <w:gridSpan w:val="4"/>
            <w:tcBorders/>
            <w:shd w:fill="F2F2F2" w:val="clear"/>
            <w:vAlign w:val="center"/>
          </w:tcPr>
          <w:p>
            <w:pPr>
              <w:pStyle w:val="TableContents"/>
              <w:bidi w:val="0"/>
              <w:spacing w:before="0" w:after="0"/>
              <w:jc w:val="left"/>
              <w:rPr/>
            </w:pPr>
            <w:r>
              <w:rPr/>
              <w:t> </w:t>
            </w:r>
          </w:p>
        </w:tc>
        <w:tc>
          <w:tcPr>
            <w:tcW w:w="249" w:type="dxa"/>
            <w:tcBorders/>
            <w:shd w:fill="F2F2F2" w:val="clear"/>
            <w:vAlign w:val="center"/>
          </w:tcPr>
          <w:p>
            <w:pPr>
              <w:pStyle w:val="TableContents"/>
              <w:bidi w:val="0"/>
              <w:spacing w:before="0" w:after="0"/>
              <w:jc w:val="left"/>
              <w:rPr/>
            </w:pPr>
            <w:r>
              <w:rPr/>
              <w:t> </w:t>
            </w:r>
          </w:p>
        </w:tc>
        <w:tc>
          <w:tcPr>
            <w:tcW w:w="249" w:type="dxa"/>
            <w:tcBorders/>
            <w:shd w:fill="F2F2F2" w:val="clear"/>
            <w:vAlign w:val="center"/>
          </w:tcPr>
          <w:p>
            <w:pPr>
              <w:pStyle w:val="TableContents"/>
              <w:bidi w:val="0"/>
              <w:spacing w:before="0" w:after="0"/>
              <w:jc w:val="left"/>
              <w:rPr/>
            </w:pPr>
            <w:r>
              <w:rPr/>
              <w:t> </w:t>
            </w:r>
          </w:p>
        </w:tc>
        <w:tc>
          <w:tcPr>
            <w:tcW w:w="2606" w:type="dxa"/>
            <w:tcBorders/>
            <w:shd w:fill="F2F2F2" w:val="clear"/>
            <w:vAlign w:val="center"/>
          </w:tcPr>
          <w:p>
            <w:pPr>
              <w:pStyle w:val="TableContents"/>
              <w:bidi w:val="0"/>
              <w:spacing w:before="0" w:after="0"/>
              <w:jc w:val="left"/>
              <w:rPr/>
            </w:pPr>
            <w:r>
              <w:rPr/>
              <w:t> </w:t>
            </w:r>
          </w:p>
        </w:tc>
        <w:tc>
          <w:tcPr>
            <w:tcW w:w="249" w:type="dxa"/>
            <w:tcBorders/>
            <w:shd w:fill="F2F2F2" w:val="clear"/>
            <w:vAlign w:val="center"/>
          </w:tcPr>
          <w:p>
            <w:pPr>
              <w:pStyle w:val="TableContents"/>
              <w:bidi w:val="0"/>
              <w:spacing w:before="0" w:after="0"/>
              <w:jc w:val="left"/>
              <w:rPr/>
            </w:pPr>
            <w:r>
              <w:rPr/>
              <w:t> </w:t>
            </w:r>
          </w:p>
        </w:tc>
        <w:tc>
          <w:tcPr>
            <w:tcW w:w="249" w:type="dxa"/>
            <w:tcBorders/>
            <w:shd w:fill="F2F2F2" w:val="clear"/>
            <w:vAlign w:val="center"/>
          </w:tcPr>
          <w:p>
            <w:pPr>
              <w:pStyle w:val="TableContents"/>
              <w:bidi w:val="0"/>
              <w:spacing w:before="0" w:after="0"/>
              <w:jc w:val="left"/>
              <w:rPr/>
            </w:pPr>
            <w:r>
              <w:rPr/>
              <w:t> </w:t>
            </w:r>
          </w:p>
        </w:tc>
        <w:tc>
          <w:tcPr>
            <w:tcW w:w="2431" w:type="dxa"/>
            <w:tcBorders/>
            <w:shd w:fill="F2F2F2" w:val="clear"/>
            <w:vAlign w:val="center"/>
          </w:tcPr>
          <w:p>
            <w:pPr>
              <w:pStyle w:val="TableContents"/>
              <w:bidi w:val="0"/>
              <w:spacing w:before="0" w:after="0"/>
              <w:jc w:val="left"/>
              <w:rPr/>
            </w:pPr>
            <w:r>
              <w:rPr/>
              <w:t> </w:t>
            </w:r>
          </w:p>
        </w:tc>
        <w:tc>
          <w:tcPr>
            <w:tcW w:w="222"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765" w:type="dxa"/>
            <w:gridSpan w:val="4"/>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Nominee</w:t>
            </w:r>
          </w:p>
        </w:tc>
        <w:tc>
          <w:tcPr>
            <w:tcW w:w="249"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49"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606"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Career Highlights</w:t>
            </w:r>
          </w:p>
        </w:tc>
        <w:tc>
          <w:tcPr>
            <w:tcW w:w="249"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49"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431"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Relevant Board Skills </w:t>
            </w:r>
          </w:p>
        </w:tc>
        <w:tc>
          <w:tcPr>
            <w:tcW w:w="222"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741" w:type="dxa"/>
            <w:tcBorders>
              <w:bottom w:val="single" w:sz="8" w:space="0" w:color="000000"/>
            </w:tcBorders>
            <w:tcMar>
              <w:bottom w:w="55" w:type="dxa"/>
            </w:tcMar>
            <w:vAlign w:val="center"/>
          </w:tcPr>
          <w:p>
            <w:pPr>
              <w:pStyle w:val="TableContents"/>
              <w:bidi w:val="0"/>
              <w:spacing w:before="0" w:after="283"/>
              <w:jc w:val="center"/>
              <w:rPr>
                <w:color w:val="000000"/>
              </w:rPr>
            </w:pPr>
            <w:r>
              <w:rPr>
                <w:color w:val="000000"/>
              </w:rPr>
              <w:drawing>
                <wp:inline distT="0" distB="0" distL="0" distR="0">
                  <wp:extent cx="733425" cy="733425"/>
                  <wp:effectExtent l="0" t="0" r="0" b="0"/>
                  <wp:docPr id="4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6" descr=""/>
                          <pic:cNvPicPr>
                            <a:picLocks noChangeAspect="1" noChangeArrowheads="1"/>
                          </pic:cNvPicPr>
                        </pic:nvPicPr>
                        <pic:blipFill>
                          <a:blip r:embed="rId47"/>
                          <a:stretch>
                            <a:fillRect/>
                          </a:stretch>
                        </pic:blipFill>
                        <pic:spPr bwMode="auto">
                          <a:xfrm>
                            <a:off x="0" y="0"/>
                            <a:ext cx="733425" cy="733425"/>
                          </a:xfrm>
                          <a:prstGeom prst="rect">
                            <a:avLst/>
                          </a:prstGeom>
                        </pic:spPr>
                      </pic:pic>
                    </a:graphicData>
                  </a:graphic>
                </wp:inline>
              </w:drawing>
            </w:r>
          </w:p>
          <w:p>
            <w:pPr>
              <w:pStyle w:val="TableContents"/>
              <w:bidi w:val="0"/>
              <w:spacing w:before="0" w:after="283"/>
              <w:ind w:left="35" w:right="0" w:hanging="0"/>
              <w:jc w:val="left"/>
              <w:rPr>
                <w:color w:val="000000"/>
              </w:rPr>
            </w:pPr>
            <w:r>
              <w:rPr>
                <w:color w:val="000000"/>
              </w:rPr>
              <w:t> </w:t>
            </w:r>
          </w:p>
        </w:tc>
        <w:tc>
          <w:tcPr>
            <w:tcW w:w="249" w:type="dxa"/>
            <w:tcBorders>
              <w:bottom w:val="single" w:sz="8" w:space="0" w:color="000000"/>
            </w:tcBorders>
            <w:tcMar>
              <w:bottom w:w="28" w:type="dxa"/>
            </w:tcMar>
            <w:vAlign w:val="center"/>
          </w:tcPr>
          <w:p>
            <w:pPr>
              <w:pStyle w:val="TableContents"/>
              <w:bidi w:val="0"/>
              <w:spacing w:before="0" w:after="0"/>
              <w:jc w:val="left"/>
              <w:rPr/>
            </w:pPr>
            <w:r>
              <w:rPr/>
              <w:t> </w:t>
            </w:r>
          </w:p>
        </w:tc>
        <w:tc>
          <w:tcPr>
            <w:tcW w:w="249" w:type="dxa"/>
            <w:tcBorders>
              <w:bottom w:val="single" w:sz="8" w:space="0" w:color="000000"/>
            </w:tcBorders>
            <w:tcMar>
              <w:bottom w:w="28" w:type="dxa"/>
            </w:tcMar>
            <w:vAlign w:val="center"/>
          </w:tcPr>
          <w:p>
            <w:pPr>
              <w:pStyle w:val="TableContents"/>
              <w:bidi w:val="0"/>
              <w:spacing w:before="0" w:after="0"/>
              <w:jc w:val="left"/>
              <w:rPr/>
            </w:pPr>
            <w:r>
              <w:rPr/>
              <w:t> </w:t>
            </w:r>
          </w:p>
        </w:tc>
        <w:tc>
          <w:tcPr>
            <w:tcW w:w="1526"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Allison M. Wing, 59 (I)</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CEO, Oobli, Inc.</w:t>
            </w:r>
          </w:p>
        </w:tc>
        <w:tc>
          <w:tcPr>
            <w:tcW w:w="249"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9" w:type="dxa"/>
            <w:tcBorders>
              <w:bottom w:val="single" w:sz="8" w:space="0" w:color="000000"/>
            </w:tcBorders>
            <w:tcMar>
              <w:bottom w:w="28" w:type="dxa"/>
            </w:tcMar>
            <w:vAlign w:val="center"/>
          </w:tcPr>
          <w:p>
            <w:pPr>
              <w:pStyle w:val="TableContents"/>
              <w:bidi w:val="0"/>
              <w:spacing w:before="0" w:after="0"/>
              <w:jc w:val="left"/>
              <w:rPr/>
            </w:pPr>
            <w:r>
              <w:rPr/>
              <w:t> </w:t>
            </w:r>
          </w:p>
        </w:tc>
        <w:tc>
          <w:tcPr>
            <w:tcW w:w="2606"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Oobli,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CEO (2021-Present)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Bright Health</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Chief Consumer Officer (2019-2021)</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Chief Marketing/Digital Officer (2018-2019)</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Ascena Retail Group,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CMO and EVP, Digital (2014-2017)</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giggle, Inc.</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Founder, CEO and Chairperson (2004-2014)</w:t>
            </w:r>
          </w:p>
        </w:tc>
        <w:tc>
          <w:tcPr>
            <w:tcW w:w="249"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9" w:type="dxa"/>
            <w:tcBorders>
              <w:bottom w:val="single" w:sz="8" w:space="0" w:color="000000"/>
            </w:tcBorders>
            <w:tcMar>
              <w:bottom w:w="28" w:type="dxa"/>
            </w:tcMar>
            <w:vAlign w:val="center"/>
          </w:tcPr>
          <w:p>
            <w:pPr>
              <w:pStyle w:val="TableContents"/>
              <w:bidi w:val="0"/>
              <w:spacing w:before="0" w:after="0"/>
              <w:jc w:val="left"/>
              <w:rPr/>
            </w:pPr>
            <w:r>
              <w:rPr/>
              <w:t> </w:t>
            </w:r>
          </w:p>
        </w:tc>
        <w:tc>
          <w:tcPr>
            <w:tcW w:w="2431" w:type="dxa"/>
            <w:tcBorders>
              <w:bottom w:val="single" w:sz="8" w:space="0" w:color="000000"/>
            </w:tcBorders>
            <w:tcMar>
              <w:bottom w:w="5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Senior Business Operations Leadership</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Consumer Products, Retail</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Digital Marketing, E-Commerce</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Marketing, Brand Management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M&amp;A</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IT, Security</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 xml:space="preserve">Corporate Strategy </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798" w:type="dxa"/>
            <w:gridSpan w:val="10"/>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Ms. Wing has over 25 years of experience leading growth, brand and strategy across consumer, retail and technology companies. Ms. Wing is currently CEO of Oobli, Inc., a venture-backed food biotechnology and consumer products company. Prior to Oobli, Ms. Wing was Chief Consumer Officer for Bright Health, a venture-backed health technology services company as the company grew from $200m to over $3B in revenues. Previously, at Ascena Retail Group, Ms. Wing was a Chief Marketing Officer &amp; EVP of Digital for a public portfolio of retail brands with more than 5,000 stores. Ms. Wing founded &amp; led giggle, Inc. an omni-channel retailer &amp; manufacturer of consumer products with more than 750 retail locations. Early in her career, Ms. Wing worked for Nike progressing through marketing &amp; corporate development roles followed by several years in Silicon Valley leading growth, brand &amp; product across a variety of technology companies. Ms. Wing practiced law as a corporate securities attorney, has her JD &amp; MBA from Northwestern University &amp; has been recognized by Women’s, Inc. among its Top 100 Corporate Board of Directors.</w:t>
            </w:r>
          </w:p>
        </w:tc>
        <w:tc>
          <w:tcPr>
            <w:tcW w:w="222"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9798" w:type="dxa"/>
            <w:gridSpan w:val="10"/>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Director since</w:t>
            </w:r>
            <w:r>
              <w:rPr>
                <w:rFonts w:ascii="Times New Roman;Times;serif" w:hAnsi="Times New Roman;Times;serif"/>
                <w:b w:val="false"/>
                <w:color w:val="000000"/>
                <w:sz w:val="18"/>
              </w:rPr>
              <w:t xml:space="preserve">: 2018, </w:t>
            </w:r>
            <w:r>
              <w:rPr>
                <w:rFonts w:ascii="Times New Roman;Times;serif" w:hAnsi="Times New Roman;Times;serif"/>
                <w:b/>
                <w:color w:val="000000"/>
                <w:sz w:val="18"/>
              </w:rPr>
              <w:t>Committees</w:t>
            </w:r>
            <w:r>
              <w:rPr>
                <w:rFonts w:ascii="Times New Roman;Times;serif" w:hAnsi="Times New Roman;Times;serif"/>
                <w:b w:val="false"/>
                <w:color w:val="000000"/>
                <w:sz w:val="18"/>
              </w:rPr>
              <w:t xml:space="preserve">: C/HC, </w:t>
            </w:r>
            <w:r>
              <w:rPr>
                <w:rFonts w:ascii="Times New Roman;Times;serif" w:hAnsi="Times New Roman;Times;serif"/>
                <w:b/>
                <w:color w:val="000000"/>
                <w:sz w:val="18"/>
              </w:rPr>
              <w:t>Other public boards</w:t>
            </w:r>
            <w:r>
              <w:rPr>
                <w:rFonts w:ascii="Times New Roman;Times;serif" w:hAnsi="Times New Roman;Times;serif"/>
                <w:b w:val="false"/>
                <w:color w:val="000000"/>
                <w:sz w:val="18"/>
              </w:rPr>
              <w:t>: Christopher &amp; Banks Corporation (2019-2021)</w:t>
            </w:r>
          </w:p>
        </w:tc>
        <w:tc>
          <w:tcPr>
            <w:tcW w:w="222"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798" w:type="dxa"/>
            <w:gridSpan w:val="10"/>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22"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bl>
    <w:p>
      <w:pPr>
        <w:pStyle w:val="TextBody"/>
        <w:bidi w:val="0"/>
        <w:spacing w:before="30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BOARD RECOMMENDS THAT YOU VOTE </w:t>
      </w:r>
      <w:r>
        <w:rPr>
          <w:rFonts w:ascii="Times New Roman;Times;serif" w:hAnsi="Times New Roman;Times;serif"/>
          <w:b/>
          <w:i/>
          <w:color w:val="000000"/>
          <w:sz w:val="20"/>
          <w:u w:val="single"/>
        </w:rPr>
        <w:t>FOR</w:t>
      </w:r>
      <w:r>
        <w:rPr>
          <w:rFonts w:ascii="Times New Roman;Times;serif" w:hAnsi="Times New Roman;Times;serif"/>
          <w:color w:val="000000"/>
          <w:sz w:val="20"/>
        </w:rPr>
        <w:t xml:space="preserve"> THE ELECTION OF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EACH OF THE ELEVEN DIRECTOR NOMINEES*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4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7" descr=""/>
                          <pic:cNvPicPr>
                            <a:picLocks noChangeAspect="1" noChangeArrowheads="1"/>
                          </pic:cNvPicPr>
                        </pic:nvPicPr>
                        <pic:blipFill>
                          <a:blip r:embed="rId48"/>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7" w:name="ny20072699x1_def14a_106-governance_pg1"/>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bookmarkStart w:id="38" w:name="tGC"/>
      <w:bookmarkEnd w:id="38"/>
      <w:r>
        <w:rPr>
          <w:rFonts w:ascii="Times New Roman;Times;serif" w:hAnsi="Times New Roman;Times;serif"/>
          <w:b/>
          <w:color w:val="000000"/>
          <w:sz w:val="24"/>
          <w:u w:val="single"/>
        </w:rPr>
        <w:t>GOVERNANCE OF THE COMPANY</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Company is committed to strong corporate governance, which we believe promotes the long-term interests of our shareholders, strengthens Board and management accountability and fosters strong Company performance.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To help ensure the Company meets this commitment, the Board has approved the Guidelines, which are reviewed on an annual basis, to address key governance practices and identify the framework for the operations of the Board and its committees. A copy of the Guidelines is posted on the Company’s website (www.caseys.com) under the “Investor Relations” link.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NCG Committee monitors developments in law and governance practices and recommends to the Board appropriate changes to the Guidelines and other governance practices. The NCG Committee also maintains Board-level oversight of sustainability-related issues as they relate to the Company’s business and industry. </w:t>
      </w:r>
    </w:p>
    <w:p>
      <w:pPr>
        <w:pStyle w:val="TextBody"/>
        <w:bidi w:val="0"/>
        <w:spacing w:before="22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Certain highlights of our corporate governance practices include the following: </w:t>
      </w:r>
    </w:p>
    <w:p>
      <w:pPr>
        <w:pStyle w:val="Normal"/>
        <w:bidi w:val="0"/>
        <w:spacing w:before="0" w:after="0"/>
        <w:ind w:left="0" w:right="0" w:hanging="0"/>
        <w:jc w:val="left"/>
        <w:rPr>
          <w:sz w:val="4"/>
          <w:szCs w:val="4"/>
        </w:rPr>
      </w:pPr>
      <w:r>
        <w:rPr>
          <w:sz w:val="4"/>
          <w:szCs w:val="4"/>
        </w:rPr>
      </w:r>
      <w:bookmarkStart w:id="39" w:name="tBC"/>
      <w:bookmarkStart w:id="40" w:name="tBC"/>
      <w:bookmarkEnd w:id="40"/>
    </w:p>
    <w:tbl>
      <w:tblPr>
        <w:tblW w:w="10205" w:type="dxa"/>
        <w:jc w:val="left"/>
        <w:tblInd w:w="0" w:type="dxa"/>
        <w:tblLayout w:type="fixed"/>
        <w:tblCellMar>
          <w:top w:w="0" w:type="dxa"/>
          <w:left w:w="0" w:type="dxa"/>
          <w:bottom w:w="0" w:type="dxa"/>
          <w:right w:w="0" w:type="dxa"/>
        </w:tblCellMar>
      </w:tblPr>
      <w:tblGrid>
        <w:gridCol w:w="185"/>
        <w:gridCol w:w="1960"/>
        <w:gridCol w:w="183"/>
        <w:gridCol w:w="183"/>
        <w:gridCol w:w="1688"/>
        <w:gridCol w:w="183"/>
        <w:gridCol w:w="183"/>
        <w:gridCol w:w="1409"/>
        <w:gridCol w:w="183"/>
        <w:gridCol w:w="183"/>
        <w:gridCol w:w="1703"/>
        <w:gridCol w:w="183"/>
        <w:gridCol w:w="183"/>
        <w:gridCol w:w="1577"/>
        <w:gridCol w:w="219"/>
      </w:tblGrid>
      <w:tr>
        <w:trPr/>
        <w:tc>
          <w:tcPr>
            <w:tcW w:w="185" w:type="dxa"/>
            <w:tcBorders/>
            <w:shd w:fill="D9D9D9" w:val="clear"/>
            <w:vAlign w:val="center"/>
          </w:tcPr>
          <w:p>
            <w:pPr>
              <w:pStyle w:val="TableContents"/>
              <w:bidi w:val="0"/>
              <w:spacing w:before="0" w:after="0"/>
              <w:jc w:val="left"/>
              <w:rPr/>
            </w:pPr>
            <w:r>
              <w:rPr/>
              <w:t> </w:t>
            </w:r>
          </w:p>
        </w:tc>
        <w:tc>
          <w:tcPr>
            <w:tcW w:w="9801" w:type="dxa"/>
            <w:gridSpan w:val="13"/>
            <w:tcBorders/>
            <w:shd w:fill="D9D9D9" w:val="clear"/>
            <w:vAlign w:val="center"/>
          </w:tcPr>
          <w:p>
            <w:pPr>
              <w:pStyle w:val="TableContents"/>
              <w:bidi w:val="0"/>
              <w:spacing w:before="0" w:after="0"/>
              <w:jc w:val="left"/>
              <w:rPr/>
            </w:pPr>
            <w:r>
              <w:rPr/>
              <w:t> </w:t>
            </w:r>
          </w:p>
        </w:tc>
        <w:tc>
          <w:tcPr>
            <w:tcW w:w="219"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1" w:type="dxa"/>
            <w:gridSpan w:val="13"/>
            <w:tcBorders>
              <w:bottom w:val="single" w:sz="8" w:space="0" w:color="000000"/>
            </w:tcBorders>
            <w:shd w:fill="D9D9D9"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BOARD COMPOSITION – DIRECTOR NOMINEES </w:t>
            </w:r>
          </w:p>
        </w:tc>
        <w:tc>
          <w:tcPr>
            <w:tcW w:w="219"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960"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10 of 11 Director Nominees Independent</w:t>
            </w:r>
          </w:p>
        </w:tc>
        <w:tc>
          <w:tcPr>
            <w:tcW w:w="183"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83"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688"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36% Female Director Nominees</w:t>
            </w:r>
          </w:p>
        </w:tc>
        <w:tc>
          <w:tcPr>
            <w:tcW w:w="183"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83"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409"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36% Racial/Ethnic Diversity of Nominees</w:t>
            </w:r>
          </w:p>
        </w:tc>
        <w:tc>
          <w:tcPr>
            <w:tcW w:w="183"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83"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03"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Comprehensive Board Enhancements</w:t>
            </w:r>
          </w:p>
        </w:tc>
        <w:tc>
          <w:tcPr>
            <w:tcW w:w="183"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83"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577"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Robust Lead Independent Director Duties </w:t>
            </w:r>
          </w:p>
        </w:tc>
        <w:tc>
          <w:tcPr>
            <w:tcW w:w="219"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960" w:type="dxa"/>
            <w:tcBorders>
              <w:bottom w:val="single" w:sz="8" w:space="0" w:color="000000"/>
            </w:tcBorders>
            <w:tcMar>
              <w:bottom w:w="58" w:type="dxa"/>
            </w:tcMar>
            <w:vAlign w:val="center"/>
          </w:tcPr>
          <w:p>
            <w:pPr>
              <w:pStyle w:val="TableContents"/>
              <w:bidi w:val="0"/>
              <w:spacing w:lineRule="atLeast" w:line="190" w:before="0" w:after="283"/>
              <w:jc w:val="center"/>
              <w:rPr>
                <w:rFonts w:ascii="Times New Roman;Times;serif" w:hAnsi="Times New Roman;Times;serif"/>
                <w:color w:val="000000"/>
                <w:sz w:val="17"/>
              </w:rPr>
            </w:pPr>
            <w:r>
              <w:rPr>
                <w:rFonts w:ascii="Times New Roman;Times;serif" w:hAnsi="Times New Roman;Times;serif"/>
                <w:color w:val="000000"/>
                <w:sz w:val="17"/>
              </w:rPr>
              <w:t>Only non-independent director is Darren M. Rebelez, Board Chair and President/CEO</w:t>
            </w:r>
          </w:p>
        </w:tc>
        <w:tc>
          <w:tcPr>
            <w:tcW w:w="183" w:type="dxa"/>
            <w:tcBorders>
              <w:bottom w:val="single" w:sz="8" w:space="0" w:color="000000"/>
            </w:tcBorders>
            <w:tcMar>
              <w:bottom w:w="28" w:type="dxa"/>
            </w:tcMar>
            <w:vAlign w:val="center"/>
          </w:tcPr>
          <w:p>
            <w:pPr>
              <w:pStyle w:val="TableContents"/>
              <w:bidi w:val="0"/>
              <w:spacing w:before="0" w:after="0"/>
              <w:jc w:val="left"/>
              <w:rPr/>
            </w:pPr>
            <w:r>
              <w:rPr/>
              <w:t> </w:t>
            </w:r>
          </w:p>
        </w:tc>
        <w:tc>
          <w:tcPr>
            <w:tcW w:w="183" w:type="dxa"/>
            <w:tcBorders>
              <w:bottom w:val="single" w:sz="8" w:space="0" w:color="000000"/>
            </w:tcBorders>
            <w:tcMar>
              <w:bottom w:w="28" w:type="dxa"/>
            </w:tcMar>
            <w:vAlign w:val="center"/>
          </w:tcPr>
          <w:p>
            <w:pPr>
              <w:pStyle w:val="TableContents"/>
              <w:bidi w:val="0"/>
              <w:spacing w:before="0" w:after="0"/>
              <w:jc w:val="left"/>
              <w:rPr/>
            </w:pPr>
            <w:r>
              <w:rPr/>
              <w:t> </w:t>
            </w:r>
          </w:p>
        </w:tc>
        <w:tc>
          <w:tcPr>
            <w:tcW w:w="1688"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4 of 11 director nominees female, including Audit Chair and Lead Independent Director</w:t>
            </w:r>
          </w:p>
        </w:tc>
        <w:tc>
          <w:tcPr>
            <w:tcW w:w="183" w:type="dxa"/>
            <w:tcBorders>
              <w:bottom w:val="single" w:sz="8" w:space="0" w:color="000000"/>
            </w:tcBorders>
            <w:tcMar>
              <w:bottom w:w="28" w:type="dxa"/>
            </w:tcMar>
            <w:vAlign w:val="center"/>
          </w:tcPr>
          <w:p>
            <w:pPr>
              <w:pStyle w:val="TableContents"/>
              <w:bidi w:val="0"/>
              <w:spacing w:before="0" w:after="0"/>
              <w:jc w:val="left"/>
              <w:rPr/>
            </w:pPr>
            <w:r>
              <w:rPr/>
              <w:t> </w:t>
            </w:r>
          </w:p>
        </w:tc>
        <w:tc>
          <w:tcPr>
            <w:tcW w:w="183" w:type="dxa"/>
            <w:tcBorders>
              <w:bottom w:val="single" w:sz="8" w:space="0" w:color="000000"/>
            </w:tcBorders>
            <w:tcMar>
              <w:bottom w:w="28" w:type="dxa"/>
            </w:tcMar>
            <w:vAlign w:val="center"/>
          </w:tcPr>
          <w:p>
            <w:pPr>
              <w:pStyle w:val="TableContents"/>
              <w:bidi w:val="0"/>
              <w:spacing w:before="0" w:after="0"/>
              <w:jc w:val="left"/>
              <w:rPr/>
            </w:pPr>
            <w:r>
              <w:rPr/>
              <w:t> </w:t>
            </w:r>
          </w:p>
        </w:tc>
        <w:tc>
          <w:tcPr>
            <w:tcW w:w="1409"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4 of 11 director nominees with racial/ethnic diversity, including Board Chair</w:t>
            </w:r>
          </w:p>
        </w:tc>
        <w:tc>
          <w:tcPr>
            <w:tcW w:w="183" w:type="dxa"/>
            <w:tcBorders>
              <w:bottom w:val="single" w:sz="8" w:space="0" w:color="000000"/>
            </w:tcBorders>
            <w:tcMar>
              <w:bottom w:w="28" w:type="dxa"/>
            </w:tcMar>
            <w:vAlign w:val="center"/>
          </w:tcPr>
          <w:p>
            <w:pPr>
              <w:pStyle w:val="TableContents"/>
              <w:bidi w:val="0"/>
              <w:spacing w:before="0" w:after="0"/>
              <w:jc w:val="left"/>
              <w:rPr/>
            </w:pPr>
            <w:r>
              <w:rPr/>
              <w:t> </w:t>
            </w:r>
          </w:p>
        </w:tc>
        <w:tc>
          <w:tcPr>
            <w:tcW w:w="183" w:type="dxa"/>
            <w:tcBorders>
              <w:bottom w:val="single" w:sz="8" w:space="0" w:color="000000"/>
            </w:tcBorders>
            <w:tcMar>
              <w:bottom w:w="28" w:type="dxa"/>
            </w:tcMar>
            <w:vAlign w:val="center"/>
          </w:tcPr>
          <w:p>
            <w:pPr>
              <w:pStyle w:val="TableContents"/>
              <w:bidi w:val="0"/>
              <w:spacing w:before="0" w:after="0"/>
              <w:jc w:val="left"/>
              <w:rPr/>
            </w:pPr>
            <w:r>
              <w:rPr/>
              <w:t> </w:t>
            </w:r>
          </w:p>
        </w:tc>
        <w:tc>
          <w:tcPr>
            <w:tcW w:w="1703"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4 new directors since 2022, including Mr. Sutula in June of 2026</w:t>
            </w:r>
          </w:p>
        </w:tc>
        <w:tc>
          <w:tcPr>
            <w:tcW w:w="183" w:type="dxa"/>
            <w:tcBorders>
              <w:bottom w:val="single" w:sz="8" w:space="0" w:color="000000"/>
            </w:tcBorders>
            <w:tcMar>
              <w:bottom w:w="28" w:type="dxa"/>
            </w:tcMar>
            <w:vAlign w:val="center"/>
          </w:tcPr>
          <w:p>
            <w:pPr>
              <w:pStyle w:val="TableContents"/>
              <w:bidi w:val="0"/>
              <w:spacing w:before="0" w:after="0"/>
              <w:jc w:val="left"/>
              <w:rPr/>
            </w:pPr>
            <w:r>
              <w:rPr/>
              <w:t> </w:t>
            </w:r>
          </w:p>
        </w:tc>
        <w:tc>
          <w:tcPr>
            <w:tcW w:w="183" w:type="dxa"/>
            <w:tcBorders>
              <w:bottom w:val="single" w:sz="8" w:space="0" w:color="000000"/>
            </w:tcBorders>
            <w:tcMar>
              <w:bottom w:w="28" w:type="dxa"/>
            </w:tcMar>
            <w:vAlign w:val="center"/>
          </w:tcPr>
          <w:p>
            <w:pPr>
              <w:pStyle w:val="TableContents"/>
              <w:bidi w:val="0"/>
              <w:spacing w:before="0" w:after="0"/>
              <w:jc w:val="left"/>
              <w:rPr/>
            </w:pPr>
            <w:r>
              <w:rPr/>
              <w:t> </w:t>
            </w:r>
          </w:p>
        </w:tc>
        <w:tc>
          <w:tcPr>
            <w:tcW w:w="1577"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Significantly enhanced </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LID responsibilities/duties, as set forth in the Guidelines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801" w:type="dxa"/>
            <w:gridSpan w:val="13"/>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Additional Information </w:t>
            </w:r>
          </w:p>
        </w:tc>
        <w:tc>
          <w:tcPr>
            <w:tcW w:w="219"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1" w:type="dxa"/>
            <w:gridSpan w:val="13"/>
            <w:tcBorders/>
            <w:vAlign w:val="center"/>
          </w:tcPr>
          <w:p>
            <w:pPr>
              <w:pStyle w:val="TableContents"/>
              <w:bidi w:val="0"/>
              <w:spacing w:before="0" w:after="283"/>
              <w:ind w:left="35" w:right="0" w:hanging="0"/>
              <w:jc w:val="left"/>
              <w:rPr>
                <w:rFonts w:ascii="Times New Roman;Times;serif" w:hAnsi="Times New Roman;Times;serif"/>
                <w:b/>
                <w:color w:val="000000"/>
                <w:sz w:val="17"/>
              </w:rPr>
            </w:pPr>
            <w:r>
              <w:rPr>
                <w:rFonts w:ascii="Times New Roman;Times;serif" w:hAnsi="Times New Roman;Times;serif"/>
                <w:b/>
                <w:color w:val="000000"/>
                <w:sz w:val="17"/>
              </w:rPr>
              <w:t>Board Enhancements</w:t>
            </w:r>
            <w:r>
              <w:rPr>
                <w:rFonts w:ascii="Times New Roman;Times;serif" w:hAnsi="Times New Roman;Times;serif"/>
                <w:b w:val="false"/>
                <w:color w:val="000000"/>
                <w:sz w:val="17"/>
              </w:rPr>
              <w:t>: In June 2026, the Board added Mr. Sutula as an independent director.</w:t>
            </w:r>
          </w:p>
          <w:p>
            <w:pPr>
              <w:pStyle w:val="TableContents"/>
              <w:bidi w:val="0"/>
              <w:spacing w:before="0" w:after="283"/>
              <w:ind w:left="35" w:right="0" w:hanging="0"/>
              <w:jc w:val="left"/>
              <w:rPr>
                <w:color w:val="000000"/>
              </w:rPr>
            </w:pPr>
            <w:r>
              <w:rPr>
                <w:color w:val="000000"/>
              </w:rPr>
              <w:t> </w:t>
            </w:r>
          </w:p>
          <w:p>
            <w:pPr>
              <w:pStyle w:val="TableContents"/>
              <w:bidi w:val="0"/>
              <w:spacing w:before="0" w:after="283"/>
              <w:ind w:left="35" w:right="0" w:hanging="0"/>
              <w:jc w:val="left"/>
              <w:rPr>
                <w:rFonts w:ascii="Times New Roman;Times;serif" w:hAnsi="Times New Roman;Times;serif"/>
                <w:b/>
                <w:color w:val="000000"/>
                <w:sz w:val="17"/>
              </w:rPr>
            </w:pPr>
            <w:r>
              <w:rPr>
                <w:rFonts w:ascii="Times New Roman;Times;serif" w:hAnsi="Times New Roman;Times;serif"/>
                <w:b/>
                <w:color w:val="000000"/>
                <w:sz w:val="17"/>
              </w:rPr>
              <w:t>Board Chair/Lead Independent Director</w:t>
            </w:r>
            <w:r>
              <w:rPr>
                <w:rFonts w:ascii="Times New Roman;Times;serif" w:hAnsi="Times New Roman;Times;serif"/>
                <w:b w:val="false"/>
                <w:color w:val="000000"/>
                <w:sz w:val="17"/>
              </w:rPr>
              <w:t>: The Board has no fixed policy with respect to the combination of the positions of Board Chair and CEO, as the Board believes that it is in the best interests of the Company and its shareholders for the Board to assess the Board leadership structure in light of the circumstances then existing. If the Board Chair is not an independent director, the independent directors will designate a lead independent director (“LID”), selected from the independent directors, who will carry out those duties as set forth in the Guidelines.</w:t>
            </w:r>
          </w:p>
          <w:p>
            <w:pPr>
              <w:pStyle w:val="TableContents"/>
              <w:bidi w:val="0"/>
              <w:spacing w:before="0" w:after="283"/>
              <w:ind w:left="35" w:right="0" w:hanging="0"/>
              <w:jc w:val="left"/>
              <w:rPr>
                <w:color w:val="000000"/>
              </w:rPr>
            </w:pPr>
            <w:r>
              <w:rPr>
                <w:color w:val="000000"/>
              </w:rPr>
              <w:t> </w:t>
            </w:r>
          </w:p>
          <w:p>
            <w:pPr>
              <w:pStyle w:val="TableContents"/>
              <w:bidi w:val="0"/>
              <w:spacing w:before="0" w:after="283"/>
              <w:ind w:left="35" w:right="0" w:hanging="0"/>
              <w:jc w:val="left"/>
              <w:rPr>
                <w:rFonts w:ascii="Times New Roman;Times;serif" w:hAnsi="Times New Roman;Times;serif"/>
                <w:b w:val="false"/>
                <w:color w:val="000000"/>
                <w:sz w:val="17"/>
              </w:rPr>
            </w:pPr>
            <w:r>
              <w:rPr>
                <w:rFonts w:ascii="Times New Roman;Times;serif" w:hAnsi="Times New Roman;Times;serif"/>
                <w:b w:val="false"/>
                <w:color w:val="000000"/>
                <w:sz w:val="17"/>
              </w:rPr>
              <w:t>Since June of 2023, Mr. Rebelez, our President and CEO, has also been the Board Chair. The Board believes that Mr. Rebelez’s inclusive leadership style, exceptional track record of success since his appointment as President and CEO in 2019, and deep understanding of the Company’s business, growth opportunities and challenges, make him uniquely qualified to provide strong and effective leadership to the Board, foster a collaborative relationship between the Board and management, and promote alignment of the Company’s long-term strategic plan with its operational and financial execution. Since that time, Ms. Schmeling has been the LID. The Board determined that her exceptional mix of strategic management skills and executive and outside board leadership experience (including outside board chair experience) was ideal for the role and responsibilities of LID and to serve as the primary liaison between the Board and management going forward.</w:t>
            </w:r>
          </w:p>
          <w:p>
            <w:pPr>
              <w:pStyle w:val="TableContents"/>
              <w:bidi w:val="0"/>
              <w:spacing w:before="0" w:after="283"/>
              <w:ind w:left="35" w:right="0" w:hanging="0"/>
              <w:jc w:val="left"/>
              <w:rPr>
                <w:color w:val="000000"/>
              </w:rPr>
            </w:pPr>
            <w:r>
              <w:rPr>
                <w:color w:val="000000"/>
              </w:rPr>
              <w:t> </w:t>
            </w:r>
          </w:p>
          <w:p>
            <w:pPr>
              <w:pStyle w:val="TableContents"/>
              <w:bidi w:val="0"/>
              <w:spacing w:before="0" w:after="283"/>
              <w:ind w:left="35" w:right="0" w:hanging="0"/>
              <w:jc w:val="left"/>
              <w:rPr>
                <w:rFonts w:ascii="Times New Roman;Times;serif" w:hAnsi="Times New Roman;Times;serif"/>
                <w:b w:val="false"/>
                <w:color w:val="000000"/>
                <w:sz w:val="17"/>
              </w:rPr>
            </w:pPr>
            <w:r>
              <w:rPr>
                <w:rFonts w:ascii="Times New Roman;Times;serif" w:hAnsi="Times New Roman;Times;serif"/>
                <w:b w:val="false"/>
                <w:color w:val="000000"/>
                <w:sz w:val="17"/>
              </w:rPr>
              <w:t>The position of LID will be evaluated by the NCG Committee, and elected by the independent directors, on an annual basis, taking into consideration the needs of the Board and the Company at such time. The role itself has a clear mandate, significant authority and well-defined and robust responsibilities/duties under the Guidelines, which were significantly enhanced as part of Mr. Rebelez’s and Ms. Schmeling’s respective appointments to Board Chair and LID, and which are set forth above in the section entitled “Proposal 1: Election of Directors–Board Leadership.”</w:t>
            </w:r>
          </w:p>
        </w:tc>
        <w:tc>
          <w:tcPr>
            <w:tcW w:w="219"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1" w:type="dxa"/>
            <w:gridSpan w:val="13"/>
            <w:tcBorders>
              <w:bottom w:val="single" w:sz="8" w:space="0" w:color="000000"/>
            </w:tcBorders>
            <w:tcMar>
              <w:bottom w:w="28" w:type="dxa"/>
            </w:tcMar>
            <w:vAlign w:val="center"/>
          </w:tcPr>
          <w:p>
            <w:pPr>
              <w:pStyle w:val="TableContents"/>
              <w:bidi w:val="0"/>
              <w:spacing w:before="0" w:after="0"/>
              <w:jc w:val="left"/>
              <w:rPr/>
            </w:pPr>
            <w:r>
              <w:rPr/>
              <w:t>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5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8" descr=""/>
                          <pic:cNvPicPr>
                            <a:picLocks noChangeAspect="1" noChangeArrowheads="1"/>
                          </pic:cNvPicPr>
                        </pic:nvPicPr>
                        <pic:blipFill>
                          <a:blip r:embed="rId49"/>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1" w:name="ny20072699x1_def14a_106-governance_pg2"/>
        <w:bookmarkEnd w:id="41"/>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42" w:name="tSR"/>
      <w:bookmarkStart w:id="43" w:name="tSR"/>
      <w:bookmarkEnd w:id="43"/>
    </w:p>
    <w:tbl>
      <w:tblPr>
        <w:tblW w:w="10205" w:type="dxa"/>
        <w:jc w:val="left"/>
        <w:tblInd w:w="0" w:type="dxa"/>
        <w:tblLayout w:type="fixed"/>
        <w:tblCellMar>
          <w:top w:w="0" w:type="dxa"/>
          <w:left w:w="0" w:type="dxa"/>
          <w:bottom w:w="0" w:type="dxa"/>
          <w:right w:w="0" w:type="dxa"/>
        </w:tblCellMar>
      </w:tblPr>
      <w:tblGrid>
        <w:gridCol w:w="185"/>
        <w:gridCol w:w="1480"/>
        <w:gridCol w:w="209"/>
        <w:gridCol w:w="209"/>
        <w:gridCol w:w="1947"/>
        <w:gridCol w:w="209"/>
        <w:gridCol w:w="209"/>
        <w:gridCol w:w="1298"/>
        <w:gridCol w:w="209"/>
        <w:gridCol w:w="209"/>
        <w:gridCol w:w="1871"/>
        <w:gridCol w:w="209"/>
        <w:gridCol w:w="209"/>
        <w:gridCol w:w="1531"/>
        <w:gridCol w:w="221"/>
      </w:tblGrid>
      <w:tr>
        <w:trPr/>
        <w:tc>
          <w:tcPr>
            <w:tcW w:w="185" w:type="dxa"/>
            <w:tcBorders/>
            <w:shd w:fill="D9D9D9" w:val="clear"/>
            <w:vAlign w:val="center"/>
          </w:tcPr>
          <w:p>
            <w:pPr>
              <w:pStyle w:val="TableContents"/>
              <w:bidi w:val="0"/>
              <w:spacing w:before="0" w:after="0"/>
              <w:jc w:val="left"/>
              <w:rPr/>
            </w:pPr>
            <w:r>
              <w:rPr/>
              <w:t> </w:t>
            </w:r>
          </w:p>
        </w:tc>
        <w:tc>
          <w:tcPr>
            <w:tcW w:w="9799" w:type="dxa"/>
            <w:gridSpan w:val="13"/>
            <w:tcBorders/>
            <w:shd w:fill="D9D9D9" w:val="clear"/>
            <w:vAlign w:val="center"/>
          </w:tcPr>
          <w:p>
            <w:pPr>
              <w:pStyle w:val="TableContents"/>
              <w:bidi w:val="0"/>
              <w:spacing w:before="0" w:after="0"/>
              <w:jc w:val="left"/>
              <w:rPr/>
            </w:pPr>
            <w:r>
              <w:rPr/>
              <w:t> </w:t>
            </w:r>
          </w:p>
        </w:tc>
        <w:tc>
          <w:tcPr>
            <w:tcW w:w="221"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799" w:type="dxa"/>
            <w:gridSpan w:val="13"/>
            <w:tcBorders>
              <w:bottom w:val="single" w:sz="8" w:space="0" w:color="000000"/>
            </w:tcBorders>
            <w:shd w:fill="D9D9D9"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SHAREHOLDER RIGHTS </w:t>
            </w:r>
          </w:p>
        </w:tc>
        <w:tc>
          <w:tcPr>
            <w:tcW w:w="221"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480"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Annual Elections</w:t>
            </w:r>
          </w:p>
        </w:tc>
        <w:tc>
          <w:tcPr>
            <w:tcW w:w="209"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209"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947"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Majority Voting in Uncontested Elections</w:t>
            </w:r>
          </w:p>
        </w:tc>
        <w:tc>
          <w:tcPr>
            <w:tcW w:w="209"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209"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298"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Proxy Access</w:t>
            </w:r>
          </w:p>
        </w:tc>
        <w:tc>
          <w:tcPr>
            <w:tcW w:w="209"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209"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871"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Annual Say-On-Pay Advisory Vote</w:t>
            </w:r>
          </w:p>
        </w:tc>
        <w:tc>
          <w:tcPr>
            <w:tcW w:w="209"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209"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531"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Single Voting Class of Securities </w:t>
            </w:r>
          </w:p>
        </w:tc>
        <w:tc>
          <w:tcPr>
            <w:tcW w:w="221"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80" w:type="dxa"/>
            <w:tcBorders>
              <w:bottom w:val="single" w:sz="8" w:space="0" w:color="000000"/>
            </w:tcBorders>
            <w:tcMar>
              <w:bottom w:w="58" w:type="dxa"/>
            </w:tcMar>
            <w:vAlign w:val="center"/>
          </w:tcPr>
          <w:p>
            <w:pPr>
              <w:pStyle w:val="TableContents"/>
              <w:bidi w:val="0"/>
              <w:spacing w:lineRule="atLeast" w:line="190" w:before="0" w:after="283"/>
              <w:jc w:val="center"/>
              <w:rPr>
                <w:rFonts w:ascii="Times New Roman;Times;serif" w:hAnsi="Times New Roman;Times;serif"/>
                <w:color w:val="000000"/>
                <w:sz w:val="17"/>
              </w:rPr>
            </w:pPr>
            <w:r>
              <w:rPr>
                <w:rFonts w:ascii="Times New Roman;Times;serif" w:hAnsi="Times New Roman;Times;serif"/>
                <w:color w:val="000000"/>
                <w:sz w:val="17"/>
              </w:rPr>
              <w:t>All nominees stand for annual election</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c>
          <w:tcPr>
            <w:tcW w:w="1947"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Nominees are subject to a majority voting standard</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c>
          <w:tcPr>
            <w:tcW w:w="1298"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3/3/20/20 proxy access structure</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c>
          <w:tcPr>
            <w:tcW w:w="187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Last year’s say-on-pay received 98% approval</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c>
          <w:tcPr>
            <w:tcW w:w="153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No dual class or other preferred voting </w:t>
            </w:r>
          </w:p>
        </w:tc>
        <w:tc>
          <w:tcPr>
            <w:tcW w:w="221"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799" w:type="dxa"/>
            <w:gridSpan w:val="13"/>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Additional Information </w:t>
            </w:r>
          </w:p>
        </w:tc>
        <w:tc>
          <w:tcPr>
            <w:tcW w:w="221"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799" w:type="dxa"/>
            <w:gridSpan w:val="13"/>
            <w:tcBorders/>
            <w:vAlign w:val="center"/>
          </w:tcPr>
          <w:p>
            <w:pPr>
              <w:pStyle w:val="TableContents"/>
              <w:bidi w:val="0"/>
              <w:spacing w:before="0" w:after="283"/>
              <w:ind w:left="35" w:right="0" w:hanging="0"/>
              <w:jc w:val="left"/>
              <w:rPr>
                <w:rFonts w:ascii="Times New Roman;Times;serif" w:hAnsi="Times New Roman;Times;serif"/>
                <w:b/>
                <w:color w:val="000000"/>
                <w:sz w:val="17"/>
              </w:rPr>
            </w:pPr>
            <w:r>
              <w:rPr>
                <w:rFonts w:ascii="Times New Roman;Times;serif" w:hAnsi="Times New Roman;Times;serif"/>
                <w:b/>
                <w:color w:val="000000"/>
                <w:sz w:val="17"/>
              </w:rPr>
              <w:t>Mandatory Resignation Policy/Contested Elections</w:t>
            </w:r>
            <w:r>
              <w:rPr>
                <w:rFonts w:ascii="Times New Roman;Times;serif" w:hAnsi="Times New Roman;Times;serif"/>
                <w:b w:val="false"/>
                <w:color w:val="000000"/>
                <w:sz w:val="17"/>
              </w:rPr>
              <w:t>: The Guidelines provide that any nominee in an uncontested election who does not receive more votes cast “for” than “against” election/re-election (a “Majority Vote”) is expected to tender his or her resignation as a director. In order to be nominated, candidates must agree to tender irrevocable resignations that will be effective upon (i) the failure to receive a Majority Vote at the next annual meeting at which they face re-election, and (ii) Board acceptance of such resignation. If an incumbent director fails to receive a Majority Vote, the NCG Committee will act on an expedited basis to determine whether to accept the resignation and will submit such recommendation for prompt consideration by the Board. Each of the NCG Committee and the Board may consider any factors they deem relevant. Thereafter, the Board will promptly disclose its decision-making process and decision regarding the resignation offer on a Form 8-K furnished to the SEC.</w:t>
            </w:r>
          </w:p>
          <w:p>
            <w:pPr>
              <w:pStyle w:val="TableContents"/>
              <w:bidi w:val="0"/>
              <w:spacing w:before="0" w:after="283"/>
              <w:ind w:left="35" w:right="0" w:hanging="0"/>
              <w:jc w:val="left"/>
              <w:rPr>
                <w:color w:val="000000"/>
              </w:rPr>
            </w:pPr>
            <w:r>
              <w:rPr>
                <w:color w:val="000000"/>
              </w:rPr>
              <w:t> </w:t>
            </w:r>
          </w:p>
          <w:p>
            <w:pPr>
              <w:pStyle w:val="TableContents"/>
              <w:bidi w:val="0"/>
              <w:spacing w:before="0" w:after="283"/>
              <w:ind w:left="35" w:right="0" w:hanging="0"/>
              <w:jc w:val="left"/>
              <w:rPr>
                <w:rFonts w:ascii="Times New Roman;Times;serif" w:hAnsi="Times New Roman;Times;serif"/>
                <w:b w:val="false"/>
                <w:color w:val="000000"/>
                <w:sz w:val="17"/>
              </w:rPr>
            </w:pPr>
            <w:r>
              <w:rPr>
                <w:rFonts w:ascii="Times New Roman;Times;serif" w:hAnsi="Times New Roman;Times;serif"/>
                <w:b w:val="false"/>
                <w:color w:val="000000"/>
                <w:sz w:val="17"/>
              </w:rPr>
              <w:t>In a contested election (i.e. the Company receives a notice that a shareholder has nominated a person for election to the Board in compliance with the requirements set forth in the Company’s Bylaws (the “Bylaws”), and such nomination has not been withdrawn on or prior to the day next preceding the date the Company first mails its notice for such meeting to the shareholders) directors will be elected by a plurality of the votes cast.</w:t>
            </w:r>
          </w:p>
          <w:p>
            <w:pPr>
              <w:pStyle w:val="TableContents"/>
              <w:bidi w:val="0"/>
              <w:spacing w:before="0" w:after="283"/>
              <w:ind w:left="35" w:right="0" w:hanging="0"/>
              <w:jc w:val="left"/>
              <w:rPr>
                <w:color w:val="000000"/>
              </w:rPr>
            </w:pPr>
            <w:r>
              <w:rPr>
                <w:color w:val="000000"/>
              </w:rPr>
              <w:t> </w:t>
            </w:r>
          </w:p>
          <w:p>
            <w:pPr>
              <w:pStyle w:val="TableContents"/>
              <w:bidi w:val="0"/>
              <w:spacing w:before="0" w:after="283"/>
              <w:ind w:left="35" w:right="0" w:hanging="0"/>
              <w:jc w:val="left"/>
              <w:rPr>
                <w:rFonts w:ascii="Times New Roman;Times;serif" w:hAnsi="Times New Roman;Times;serif"/>
                <w:b/>
                <w:color w:val="000000"/>
                <w:sz w:val="17"/>
              </w:rPr>
            </w:pPr>
            <w:r>
              <w:rPr>
                <w:rFonts w:ascii="Times New Roman;Times;serif" w:hAnsi="Times New Roman;Times;serif"/>
                <w:b/>
                <w:color w:val="000000"/>
                <w:sz w:val="17"/>
              </w:rPr>
              <w:t>Proxy Access</w:t>
            </w:r>
            <w:r>
              <w:rPr>
                <w:rFonts w:ascii="Times New Roman;Times;serif" w:hAnsi="Times New Roman;Times;serif"/>
                <w:b w:val="false"/>
                <w:color w:val="000000"/>
                <w:sz w:val="17"/>
              </w:rPr>
              <w:t>: A shareholder or a group of up to 20 eligible shareholders owning 3% or more of the Company’s outstanding shares of Common Stock continuously for at least three years may nominate and include in the Company’s annual meeting proxy materials, for any annual meeting of shareholders at which directors are to be elected, director nominees constituting up to the greater of (i) 20% of the total number of directors of the Company, or (ii) two individuals; provided that the nominating shareholder(s) and nominee(s) satisfy the requirements described in the Bylaws.</w:t>
            </w:r>
          </w:p>
        </w:tc>
        <w:tc>
          <w:tcPr>
            <w:tcW w:w="221"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799" w:type="dxa"/>
            <w:gridSpan w:val="13"/>
            <w:tcBorders>
              <w:bottom w:val="single" w:sz="8" w:space="0" w:color="000000"/>
            </w:tcBorders>
            <w:tcMar>
              <w:bottom w:w="28" w:type="dxa"/>
            </w:tcMar>
            <w:vAlign w:val="center"/>
          </w:tcPr>
          <w:p>
            <w:pPr>
              <w:pStyle w:val="TableContents"/>
              <w:bidi w:val="0"/>
              <w:spacing w:before="0" w:after="0"/>
              <w:jc w:val="left"/>
              <w:rPr/>
            </w:pPr>
            <w:r>
              <w:rPr/>
              <w:t> </w:t>
            </w:r>
          </w:p>
        </w:tc>
        <w:tc>
          <w:tcPr>
            <w:tcW w:w="221"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65" w:after="283"/>
        <w:ind w:left="0" w:right="0" w:hanging="0"/>
        <w:jc w:val="left"/>
        <w:rPr>
          <w:color w:val="000000"/>
        </w:rPr>
      </w:pPr>
      <w:r>
        <w:rPr>
          <w:color w:val="000000"/>
        </w:rPr>
        <w:t xml:space="preserve">  </w:t>
      </w:r>
    </w:p>
    <w:p>
      <w:pPr>
        <w:pStyle w:val="Normal"/>
        <w:bidi w:val="0"/>
        <w:spacing w:before="0" w:after="0"/>
        <w:ind w:left="0" w:right="0" w:hanging="0"/>
        <w:jc w:val="left"/>
        <w:rPr>
          <w:sz w:val="4"/>
          <w:szCs w:val="4"/>
        </w:rPr>
      </w:pPr>
      <w:r>
        <w:rPr>
          <w:sz w:val="4"/>
          <w:szCs w:val="4"/>
        </w:rPr>
      </w:r>
      <w:bookmarkStart w:id="44" w:name="tHP"/>
      <w:bookmarkStart w:id="45" w:name="tAC"/>
      <w:bookmarkStart w:id="46" w:name="tHP"/>
      <w:bookmarkStart w:id="47" w:name="tAC"/>
      <w:bookmarkEnd w:id="46"/>
      <w:bookmarkEnd w:id="47"/>
    </w:p>
    <w:tbl>
      <w:tblPr>
        <w:tblW w:w="10205" w:type="dxa"/>
        <w:jc w:val="left"/>
        <w:tblInd w:w="0" w:type="dxa"/>
        <w:tblLayout w:type="fixed"/>
        <w:tblCellMar>
          <w:top w:w="0" w:type="dxa"/>
          <w:left w:w="0" w:type="dxa"/>
          <w:bottom w:w="0" w:type="dxa"/>
          <w:right w:w="0" w:type="dxa"/>
        </w:tblCellMar>
      </w:tblPr>
      <w:tblGrid>
        <w:gridCol w:w="185"/>
        <w:gridCol w:w="1598"/>
        <w:gridCol w:w="188"/>
        <w:gridCol w:w="188"/>
        <w:gridCol w:w="2048"/>
        <w:gridCol w:w="188"/>
        <w:gridCol w:w="188"/>
        <w:gridCol w:w="1493"/>
        <w:gridCol w:w="188"/>
        <w:gridCol w:w="188"/>
        <w:gridCol w:w="1585"/>
        <w:gridCol w:w="188"/>
        <w:gridCol w:w="188"/>
        <w:gridCol w:w="1574"/>
        <w:gridCol w:w="218"/>
      </w:tblGrid>
      <w:tr>
        <w:trPr/>
        <w:tc>
          <w:tcPr>
            <w:tcW w:w="185" w:type="dxa"/>
            <w:tcBorders/>
            <w:shd w:fill="D9D9D9" w:val="clear"/>
            <w:vAlign w:val="center"/>
          </w:tcPr>
          <w:p>
            <w:pPr>
              <w:pStyle w:val="TableContents"/>
              <w:bidi w:val="0"/>
              <w:spacing w:before="0" w:after="0"/>
              <w:jc w:val="left"/>
              <w:rPr/>
            </w:pPr>
            <w:r>
              <w:rPr/>
              <w:t> </w:t>
            </w:r>
          </w:p>
        </w:tc>
        <w:tc>
          <w:tcPr>
            <w:tcW w:w="9802" w:type="dxa"/>
            <w:gridSpan w:val="13"/>
            <w:tcBorders/>
            <w:shd w:fill="D9D9D9" w:val="clear"/>
            <w:vAlign w:val="center"/>
          </w:tcPr>
          <w:p>
            <w:pPr>
              <w:pStyle w:val="TableContents"/>
              <w:bidi w:val="0"/>
              <w:spacing w:before="0" w:after="0"/>
              <w:jc w:val="left"/>
              <w:rPr/>
            </w:pPr>
            <w:r>
              <w:rPr/>
              <w:t> </w:t>
            </w:r>
          </w:p>
        </w:tc>
        <w:tc>
          <w:tcPr>
            <w:tcW w:w="218"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2" w:type="dxa"/>
            <w:gridSpan w:val="13"/>
            <w:tcBorders>
              <w:bottom w:val="single" w:sz="8" w:space="0" w:color="000000"/>
            </w:tcBorders>
            <w:shd w:fill="D9D9D9"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ACCOUNTABILITY </w:t>
            </w:r>
          </w:p>
        </w:tc>
        <w:tc>
          <w:tcPr>
            <w:tcW w:w="218"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598"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Strong Anti-Hedging and Pledging Policy</w:t>
            </w:r>
          </w:p>
        </w:tc>
        <w:tc>
          <w:tcPr>
            <w:tcW w:w="188"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8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048"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Compensation Recovery Policy</w:t>
            </w:r>
          </w:p>
        </w:tc>
        <w:tc>
          <w:tcPr>
            <w:tcW w:w="188"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8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493"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Meaningful Stock Ownership Requirements</w:t>
            </w:r>
          </w:p>
        </w:tc>
        <w:tc>
          <w:tcPr>
            <w:tcW w:w="188"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8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585"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Robust Code of Conduct/Ethics</w:t>
            </w:r>
          </w:p>
        </w:tc>
        <w:tc>
          <w:tcPr>
            <w:tcW w:w="188"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8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574"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Insider Trading Policy </w:t>
            </w:r>
          </w:p>
        </w:tc>
        <w:tc>
          <w:tcPr>
            <w:tcW w:w="21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98" w:type="dxa"/>
            <w:tcBorders>
              <w:bottom w:val="single" w:sz="8" w:space="0" w:color="000000"/>
            </w:tcBorders>
            <w:tcMar>
              <w:bottom w:w="58" w:type="dxa"/>
            </w:tcMar>
            <w:vAlign w:val="center"/>
          </w:tcPr>
          <w:p>
            <w:pPr>
              <w:pStyle w:val="TableContents"/>
              <w:bidi w:val="0"/>
              <w:spacing w:lineRule="atLeast" w:line="190" w:before="0" w:after="283"/>
              <w:jc w:val="center"/>
              <w:rPr>
                <w:rFonts w:ascii="Times New Roman;Times;serif" w:hAnsi="Times New Roman;Times;serif"/>
                <w:color w:val="000000"/>
                <w:sz w:val="17"/>
              </w:rPr>
            </w:pPr>
            <w:r>
              <w:rPr>
                <w:rFonts w:ascii="Times New Roman;Times;serif" w:hAnsi="Times New Roman;Times;serif"/>
                <w:color w:val="000000"/>
                <w:sz w:val="17"/>
              </w:rPr>
              <w:t>Hedging and pledging of Company stock is prohibited</w:t>
            </w:r>
          </w:p>
        </w:tc>
        <w:tc>
          <w:tcPr>
            <w:tcW w:w="188" w:type="dxa"/>
            <w:tcBorders>
              <w:bottom w:val="single" w:sz="8" w:space="0" w:color="000000"/>
            </w:tcBorders>
            <w:tcMar>
              <w:bottom w:w="28" w:type="dxa"/>
            </w:tcMar>
            <w:vAlign w:val="center"/>
          </w:tcPr>
          <w:p>
            <w:pPr>
              <w:pStyle w:val="TableContents"/>
              <w:bidi w:val="0"/>
              <w:spacing w:before="0" w:after="0"/>
              <w:jc w:val="left"/>
              <w:rPr/>
            </w:pPr>
            <w:r>
              <w:rPr/>
              <w:t> </w:t>
            </w:r>
          </w:p>
        </w:tc>
        <w:tc>
          <w:tcPr>
            <w:tcW w:w="188" w:type="dxa"/>
            <w:tcBorders>
              <w:bottom w:val="single" w:sz="8" w:space="0" w:color="000000"/>
            </w:tcBorders>
            <w:tcMar>
              <w:bottom w:w="28" w:type="dxa"/>
            </w:tcMar>
            <w:vAlign w:val="center"/>
          </w:tcPr>
          <w:p>
            <w:pPr>
              <w:pStyle w:val="TableContents"/>
              <w:bidi w:val="0"/>
              <w:spacing w:before="0" w:after="0"/>
              <w:jc w:val="left"/>
              <w:rPr/>
            </w:pPr>
            <w:r>
              <w:rPr/>
              <w:t> </w:t>
            </w:r>
          </w:p>
        </w:tc>
        <w:tc>
          <w:tcPr>
            <w:tcW w:w="2048"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Shall seek reimbursement of incentive payments in the case of certain financial restatements</w:t>
            </w:r>
          </w:p>
        </w:tc>
        <w:tc>
          <w:tcPr>
            <w:tcW w:w="188" w:type="dxa"/>
            <w:tcBorders>
              <w:bottom w:val="single" w:sz="8" w:space="0" w:color="000000"/>
            </w:tcBorders>
            <w:tcMar>
              <w:bottom w:w="28" w:type="dxa"/>
            </w:tcMar>
            <w:vAlign w:val="center"/>
          </w:tcPr>
          <w:p>
            <w:pPr>
              <w:pStyle w:val="TableContents"/>
              <w:bidi w:val="0"/>
              <w:spacing w:before="0" w:after="0"/>
              <w:jc w:val="left"/>
              <w:rPr/>
            </w:pPr>
            <w:r>
              <w:rPr/>
              <w:t> </w:t>
            </w:r>
          </w:p>
        </w:tc>
        <w:tc>
          <w:tcPr>
            <w:tcW w:w="188" w:type="dxa"/>
            <w:tcBorders>
              <w:bottom w:val="single" w:sz="8" w:space="0" w:color="000000"/>
            </w:tcBorders>
            <w:tcMar>
              <w:bottom w:w="28" w:type="dxa"/>
            </w:tcMar>
            <w:vAlign w:val="center"/>
          </w:tcPr>
          <w:p>
            <w:pPr>
              <w:pStyle w:val="TableContents"/>
              <w:bidi w:val="0"/>
              <w:spacing w:before="0" w:after="0"/>
              <w:jc w:val="left"/>
              <w:rPr/>
            </w:pPr>
            <w:r>
              <w:rPr/>
              <w:t> </w:t>
            </w:r>
          </w:p>
        </w:tc>
        <w:tc>
          <w:tcPr>
            <w:tcW w:w="1493"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Director: 5x cash retainer </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CEO: 5x base salary</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Chief/SVP: 3x base salary</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VP: 2x base salary</w:t>
            </w:r>
          </w:p>
        </w:tc>
        <w:tc>
          <w:tcPr>
            <w:tcW w:w="188" w:type="dxa"/>
            <w:tcBorders>
              <w:bottom w:val="single" w:sz="8" w:space="0" w:color="000000"/>
            </w:tcBorders>
            <w:tcMar>
              <w:bottom w:w="28" w:type="dxa"/>
            </w:tcMar>
            <w:vAlign w:val="center"/>
          </w:tcPr>
          <w:p>
            <w:pPr>
              <w:pStyle w:val="TableContents"/>
              <w:bidi w:val="0"/>
              <w:spacing w:before="0" w:after="0"/>
              <w:jc w:val="left"/>
              <w:rPr/>
            </w:pPr>
            <w:r>
              <w:rPr/>
              <w:t> </w:t>
            </w:r>
          </w:p>
        </w:tc>
        <w:tc>
          <w:tcPr>
            <w:tcW w:w="188" w:type="dxa"/>
            <w:tcBorders>
              <w:bottom w:val="single" w:sz="8" w:space="0" w:color="000000"/>
            </w:tcBorders>
            <w:tcMar>
              <w:bottom w:w="28" w:type="dxa"/>
            </w:tcMar>
            <w:vAlign w:val="center"/>
          </w:tcPr>
          <w:p>
            <w:pPr>
              <w:pStyle w:val="TableContents"/>
              <w:bidi w:val="0"/>
              <w:spacing w:before="0" w:after="0"/>
              <w:jc w:val="left"/>
              <w:rPr/>
            </w:pPr>
            <w:r>
              <w:rPr/>
              <w:t> </w:t>
            </w:r>
          </w:p>
        </w:tc>
        <w:tc>
          <w:tcPr>
            <w:tcW w:w="158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All directors and officers bound by a robust Code of Business Conduct and Ethics</w:t>
            </w:r>
          </w:p>
        </w:tc>
        <w:tc>
          <w:tcPr>
            <w:tcW w:w="188" w:type="dxa"/>
            <w:tcBorders>
              <w:bottom w:val="single" w:sz="8" w:space="0" w:color="000000"/>
            </w:tcBorders>
            <w:tcMar>
              <w:bottom w:w="28" w:type="dxa"/>
            </w:tcMar>
            <w:vAlign w:val="center"/>
          </w:tcPr>
          <w:p>
            <w:pPr>
              <w:pStyle w:val="TableContents"/>
              <w:bidi w:val="0"/>
              <w:spacing w:before="0" w:after="0"/>
              <w:jc w:val="left"/>
              <w:rPr/>
            </w:pPr>
            <w:r>
              <w:rPr/>
              <w:t> </w:t>
            </w:r>
          </w:p>
        </w:tc>
        <w:tc>
          <w:tcPr>
            <w:tcW w:w="188" w:type="dxa"/>
            <w:tcBorders>
              <w:bottom w:val="single" w:sz="8" w:space="0" w:color="000000"/>
            </w:tcBorders>
            <w:tcMar>
              <w:bottom w:w="28" w:type="dxa"/>
            </w:tcMar>
            <w:vAlign w:val="center"/>
          </w:tcPr>
          <w:p>
            <w:pPr>
              <w:pStyle w:val="TableContents"/>
              <w:bidi w:val="0"/>
              <w:spacing w:before="0" w:after="0"/>
              <w:jc w:val="left"/>
              <w:rPr/>
            </w:pPr>
            <w:r>
              <w:rPr/>
              <w:t> </w:t>
            </w:r>
          </w:p>
        </w:tc>
        <w:tc>
          <w:tcPr>
            <w:tcW w:w="1574"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Promotes compliance with insider trading laws, rules and regulations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802" w:type="dxa"/>
            <w:gridSpan w:val="13"/>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Additional Information </w:t>
            </w:r>
          </w:p>
        </w:tc>
        <w:tc>
          <w:tcPr>
            <w:tcW w:w="21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13"/>
            <w:tcBorders/>
            <w:vAlign w:val="center"/>
          </w:tcPr>
          <w:p>
            <w:pPr>
              <w:pStyle w:val="TableContents"/>
              <w:bidi w:val="0"/>
              <w:spacing w:before="0" w:after="283"/>
              <w:ind w:left="35" w:right="0" w:hanging="0"/>
              <w:jc w:val="left"/>
              <w:rPr>
                <w:rFonts w:ascii="Times New Roman;Times;serif" w:hAnsi="Times New Roman;Times;serif"/>
                <w:b/>
                <w:color w:val="000000"/>
                <w:sz w:val="17"/>
              </w:rPr>
            </w:pPr>
            <w:r>
              <w:rPr>
                <w:rFonts w:ascii="Times New Roman;Times;serif" w:hAnsi="Times New Roman;Times;serif"/>
                <w:b/>
                <w:color w:val="000000"/>
                <w:sz w:val="17"/>
              </w:rPr>
              <w:t>Hedging/Pledging</w:t>
            </w:r>
            <w:r>
              <w:rPr>
                <w:rFonts w:ascii="Times New Roman;Times;serif" w:hAnsi="Times New Roman;Times;serif"/>
                <w:b w:val="false"/>
                <w:color w:val="000000"/>
                <w:sz w:val="17"/>
              </w:rPr>
              <w:t>: Directors, officers, designated key employees and those designated as “insiders” (including their spouses or other family members residing in their households) may not engage in any hedging or monetization transactions with respect to the Company’s securities, including, but not limited to, through the use of financial instruments such as exchange funds, prepaid variable forwards, equity swaps, puts, calls, collars, forwards and other derivative instruments, or through the establishment of a short position in the Company’s securities. Further, such persons may not engage in short-term or speculative transactions in the Company’s securities that could create heightened legal risk and/or the appearance of improper or inappropriate conduct, including short-term trading, short sales, and publicly traded options. In addition, the Company prohibits all pledging of Company stock or holding it in a margin account.</w:t>
            </w:r>
          </w:p>
          <w:p>
            <w:pPr>
              <w:pStyle w:val="TableContents"/>
              <w:bidi w:val="0"/>
              <w:spacing w:before="0" w:after="283"/>
              <w:ind w:left="35" w:right="0" w:hanging="0"/>
              <w:jc w:val="left"/>
              <w:rPr>
                <w:color w:val="000000"/>
              </w:rPr>
            </w:pPr>
            <w:r>
              <w:rPr>
                <w:color w:val="000000"/>
              </w:rPr>
              <w:t> </w:t>
            </w:r>
          </w:p>
          <w:p>
            <w:pPr>
              <w:pStyle w:val="TableContents"/>
              <w:bidi w:val="0"/>
              <w:spacing w:before="0" w:after="283"/>
              <w:ind w:left="35" w:right="0" w:hanging="0"/>
              <w:jc w:val="left"/>
              <w:rPr>
                <w:rFonts w:ascii="Times New Roman;Times;serif" w:hAnsi="Times New Roman;Times;serif"/>
                <w:b/>
                <w:color w:val="000000"/>
                <w:sz w:val="17"/>
              </w:rPr>
            </w:pPr>
            <w:r>
              <w:rPr>
                <w:rFonts w:ascii="Times New Roman;Times;serif" w:hAnsi="Times New Roman;Times;serif"/>
                <w:b/>
                <w:color w:val="000000"/>
                <w:sz w:val="17"/>
              </w:rPr>
              <w:t>Compensation Recovery (“Clawback”) Policy</w:t>
            </w:r>
            <w:r>
              <w:rPr>
                <w:rFonts w:ascii="Times New Roman;Times;serif" w:hAnsi="Times New Roman;Times;serif"/>
                <w:b w:val="false"/>
                <w:color w:val="000000"/>
                <w:sz w:val="17"/>
              </w:rPr>
              <w:t>: In addition to any other remedies available under law, the Company shall recoup, in all appropriate circumstances and in accordance with applicable law, any incentive payment made to an executive officer or former executive officer whenever (i) the payment was based upon achieving certain financial results that were subsequently the subject of an accounting restatement due to the material noncompliance of the Company with any financial reporting requirement under the securities laws (other than changes to historical financial statements that do not represent error corrections including a restatement caused by a change in applicable accounting rules or interpretations), and (ii) a lower payment would have been made to the executive officer or former executive officer based on the restated financial results. The Company will, to the extent practicable, recoup from the executive officer the amount by which the incentive payments for the recoverable period exceeded the lower payment that would have been made based on the restated financial results.</w:t>
            </w:r>
          </w:p>
          <w:p>
            <w:pPr>
              <w:pStyle w:val="TableContents"/>
              <w:bidi w:val="0"/>
              <w:spacing w:before="0" w:after="283"/>
              <w:ind w:left="35" w:right="0" w:hanging="0"/>
              <w:jc w:val="left"/>
              <w:rPr>
                <w:color w:val="000000"/>
              </w:rPr>
            </w:pPr>
            <w:r>
              <w:rPr>
                <w:color w:val="000000"/>
              </w:rPr>
              <w:t> </w:t>
            </w:r>
          </w:p>
          <w:p>
            <w:pPr>
              <w:pStyle w:val="TableContents"/>
              <w:bidi w:val="0"/>
              <w:spacing w:before="0" w:after="283"/>
              <w:ind w:left="35" w:right="0" w:hanging="0"/>
              <w:jc w:val="left"/>
              <w:rPr>
                <w:rFonts w:ascii="Times New Roman;Times;serif" w:hAnsi="Times New Roman;Times;serif"/>
                <w:b/>
                <w:color w:val="000000"/>
                <w:sz w:val="17"/>
              </w:rPr>
            </w:pPr>
            <w:r>
              <w:rPr>
                <w:rFonts w:ascii="Times New Roman;Times;serif" w:hAnsi="Times New Roman;Times;serif"/>
                <w:b/>
                <w:color w:val="000000"/>
                <w:sz w:val="17"/>
              </w:rPr>
              <w:t>Stock Ownership</w:t>
            </w:r>
            <w:r>
              <w:rPr>
                <w:rFonts w:ascii="Times New Roman;Times;serif" w:hAnsi="Times New Roman;Times;serif"/>
                <w:b w:val="false"/>
                <w:color w:val="000000"/>
                <w:sz w:val="17"/>
              </w:rPr>
              <w:t>: Within five years of joining the Board, directors must accumulate share holdings of at least five times the annual cash retainer for non-Board Chair directors (excluding committee retainers) (the cash retainer as of the Record Date was $100,000, for a total ownership requirement of $500,000). Within five years of hire or promotion to their respective positions, the CEO and other all other officers must accumulate share holdings of a multiple of their base salary, as follows: CEO, 5x base salary; Chief/SVP, 3x base salary; and VP, 2x base salary. Restricted stock, unvested service-based restricted stock units (RSUs) and vested 401(k) Plan shares count towards the requirement, however unvested performance-based restricted stock units (PSUs) and stock options do not count. All of the directors (other than Mr. Sutula, who was elected to the Board on June 4, 2026, after the end of the Company’s 2026 fiscal year) and NEOs have met their respective ownership requirements.</w:t>
            </w:r>
          </w:p>
          <w:p>
            <w:pPr>
              <w:pStyle w:val="TableContents"/>
              <w:bidi w:val="0"/>
              <w:spacing w:before="0" w:after="283"/>
              <w:ind w:left="35" w:right="0" w:hanging="0"/>
              <w:jc w:val="left"/>
              <w:rPr>
                <w:color w:val="000000"/>
              </w:rPr>
            </w:pPr>
            <w:r>
              <w:rPr>
                <w:color w:val="000000"/>
              </w:rPr>
              <w:t> </w:t>
            </w:r>
          </w:p>
          <w:p>
            <w:pPr>
              <w:pStyle w:val="TableContents"/>
              <w:bidi w:val="0"/>
              <w:spacing w:before="0" w:after="283"/>
              <w:ind w:left="35" w:right="0" w:hanging="0"/>
              <w:jc w:val="left"/>
              <w:rPr>
                <w:rFonts w:ascii="Times New Roman;Times;serif" w:hAnsi="Times New Roman;Times;serif"/>
                <w:b/>
                <w:color w:val="000000"/>
                <w:sz w:val="17"/>
              </w:rPr>
            </w:pPr>
            <w:r>
              <w:rPr>
                <w:rFonts w:ascii="Times New Roman;Times;serif" w:hAnsi="Times New Roman;Times;serif"/>
                <w:b/>
                <w:color w:val="000000"/>
                <w:sz w:val="17"/>
              </w:rPr>
              <w:t>Insider Trading Policy</w:t>
            </w:r>
            <w:r>
              <w:rPr>
                <w:rFonts w:ascii="Times New Roman;Times;serif" w:hAnsi="Times New Roman;Times;serif"/>
                <w:b w:val="false"/>
                <w:color w:val="000000"/>
                <w:sz w:val="17"/>
              </w:rPr>
              <w:t>: The Company has adopted insider trading policies and procedures applicable to its directors, officers, and employees that are reasonably designed to promote compliance with insider trading laws, rules and regulations, and any applicable Nasdaq listing standard. The Company’s Insider Trading Policy and Procedures was filed as Exhibit 19.1 to our annual report on Form 10-K. In addition, it is our policy to comply with applicable securities and state laws, including insider trading laws, when engaging in transactions in the Company’s securities.</w:t>
            </w:r>
          </w:p>
        </w:tc>
        <w:tc>
          <w:tcPr>
            <w:tcW w:w="218"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2" w:type="dxa"/>
            <w:gridSpan w:val="13"/>
            <w:tcBorders>
              <w:bottom w:val="single" w:sz="8" w:space="0" w:color="000000"/>
            </w:tcBorders>
            <w:tcMar>
              <w:bottom w:w="28" w:type="dxa"/>
            </w:tcMar>
            <w:vAlign w:val="center"/>
          </w:tcPr>
          <w:p>
            <w:pPr>
              <w:pStyle w:val="TableContents"/>
              <w:bidi w:val="0"/>
              <w:spacing w:before="0" w:after="0"/>
              <w:jc w:val="left"/>
              <w:rPr/>
            </w:pPr>
            <w:r>
              <w:rPr/>
              <w:t>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5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9" descr=""/>
                          <pic:cNvPicPr>
                            <a:picLocks noChangeAspect="1" noChangeArrowheads="1"/>
                          </pic:cNvPicPr>
                        </pic:nvPicPr>
                        <pic:blipFill>
                          <a:blip r:embed="rId50"/>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8" w:name="ny20072699x1_def14a_106-governance_pg3"/>
        <w:bookmarkEnd w:id="48"/>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49" w:name="tBP"/>
      <w:bookmarkStart w:id="50" w:name="tBP"/>
      <w:bookmarkEnd w:id="50"/>
    </w:p>
    <w:tbl>
      <w:tblPr>
        <w:tblW w:w="10205" w:type="dxa"/>
        <w:jc w:val="left"/>
        <w:tblInd w:w="0" w:type="dxa"/>
        <w:tblLayout w:type="fixed"/>
        <w:tblCellMar>
          <w:top w:w="0" w:type="dxa"/>
          <w:left w:w="0" w:type="dxa"/>
          <w:bottom w:w="0" w:type="dxa"/>
          <w:right w:w="0" w:type="dxa"/>
        </w:tblCellMar>
      </w:tblPr>
      <w:tblGrid>
        <w:gridCol w:w="185"/>
        <w:gridCol w:w="1810"/>
        <w:gridCol w:w="178"/>
        <w:gridCol w:w="178"/>
        <w:gridCol w:w="1781"/>
        <w:gridCol w:w="178"/>
        <w:gridCol w:w="178"/>
        <w:gridCol w:w="1645"/>
        <w:gridCol w:w="178"/>
        <w:gridCol w:w="178"/>
        <w:gridCol w:w="1477"/>
        <w:gridCol w:w="178"/>
        <w:gridCol w:w="178"/>
        <w:gridCol w:w="1664"/>
        <w:gridCol w:w="219"/>
      </w:tblGrid>
      <w:tr>
        <w:trPr/>
        <w:tc>
          <w:tcPr>
            <w:tcW w:w="185" w:type="dxa"/>
            <w:tcBorders/>
            <w:shd w:fill="D9D9D9" w:val="clear"/>
            <w:vAlign w:val="center"/>
          </w:tcPr>
          <w:p>
            <w:pPr>
              <w:pStyle w:val="TableContents"/>
              <w:bidi w:val="0"/>
              <w:spacing w:before="0" w:after="0"/>
              <w:jc w:val="left"/>
              <w:rPr/>
            </w:pPr>
            <w:r>
              <w:rPr/>
              <w:t> </w:t>
            </w:r>
          </w:p>
        </w:tc>
        <w:tc>
          <w:tcPr>
            <w:tcW w:w="9801" w:type="dxa"/>
            <w:gridSpan w:val="13"/>
            <w:tcBorders/>
            <w:shd w:fill="D9D9D9" w:val="clear"/>
            <w:vAlign w:val="center"/>
          </w:tcPr>
          <w:p>
            <w:pPr>
              <w:pStyle w:val="TableContents"/>
              <w:bidi w:val="0"/>
              <w:spacing w:before="0" w:after="0"/>
              <w:jc w:val="left"/>
              <w:rPr/>
            </w:pPr>
            <w:r>
              <w:rPr/>
              <w:t> </w:t>
            </w:r>
          </w:p>
        </w:tc>
        <w:tc>
          <w:tcPr>
            <w:tcW w:w="219"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1" w:type="dxa"/>
            <w:gridSpan w:val="13"/>
            <w:tcBorders>
              <w:bottom w:val="single" w:sz="8" w:space="0" w:color="000000"/>
            </w:tcBorders>
            <w:shd w:fill="D9D9D9"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BOARD PRACTICES </w:t>
            </w:r>
          </w:p>
        </w:tc>
        <w:tc>
          <w:tcPr>
            <w:tcW w:w="219"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810"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Regular Board and Committee Self-Assessments</w:t>
            </w:r>
          </w:p>
        </w:tc>
        <w:tc>
          <w:tcPr>
            <w:tcW w:w="178"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81"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Director Over-Boarding Limits</w:t>
            </w:r>
          </w:p>
        </w:tc>
        <w:tc>
          <w:tcPr>
            <w:tcW w:w="178"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645"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Strong Corporate Governance Guidelines</w:t>
            </w:r>
          </w:p>
        </w:tc>
        <w:tc>
          <w:tcPr>
            <w:tcW w:w="178"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477"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Regular Executive Sessions</w:t>
            </w:r>
          </w:p>
        </w:tc>
        <w:tc>
          <w:tcPr>
            <w:tcW w:w="178"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8"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664"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Meaningful Director Age/Tenure Limits </w:t>
            </w:r>
          </w:p>
        </w:tc>
        <w:tc>
          <w:tcPr>
            <w:tcW w:w="219"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810" w:type="dxa"/>
            <w:tcBorders>
              <w:bottom w:val="single" w:sz="8" w:space="0" w:color="000000"/>
            </w:tcBorders>
            <w:tcMar>
              <w:bottom w:w="58" w:type="dxa"/>
            </w:tcMar>
            <w:vAlign w:val="center"/>
          </w:tcPr>
          <w:p>
            <w:pPr>
              <w:pStyle w:val="TableContents"/>
              <w:bidi w:val="0"/>
              <w:spacing w:lineRule="atLeast" w:line="190" w:before="0" w:after="283"/>
              <w:jc w:val="center"/>
              <w:rPr>
                <w:rFonts w:ascii="Times New Roman;Times;serif" w:hAnsi="Times New Roman;Times;serif"/>
                <w:color w:val="000000"/>
                <w:sz w:val="17"/>
              </w:rPr>
            </w:pPr>
            <w:r>
              <w:rPr>
                <w:rFonts w:ascii="Times New Roman;Times;serif" w:hAnsi="Times New Roman;Times;serif"/>
                <w:color w:val="000000"/>
                <w:sz w:val="17"/>
              </w:rPr>
              <w:t>Comprehensive self-assessments during the 2026 fiscal year</w:t>
            </w:r>
          </w:p>
        </w:tc>
        <w:tc>
          <w:tcPr>
            <w:tcW w:w="178" w:type="dxa"/>
            <w:tcBorders>
              <w:bottom w:val="single" w:sz="8" w:space="0" w:color="000000"/>
            </w:tcBorders>
            <w:tcMar>
              <w:bottom w:w="28" w:type="dxa"/>
            </w:tcMar>
            <w:vAlign w:val="center"/>
          </w:tcPr>
          <w:p>
            <w:pPr>
              <w:pStyle w:val="TableContents"/>
              <w:bidi w:val="0"/>
              <w:spacing w:before="0" w:after="0"/>
              <w:jc w:val="left"/>
              <w:rPr/>
            </w:pPr>
            <w:r>
              <w:rPr/>
              <w:t> </w:t>
            </w:r>
          </w:p>
        </w:tc>
        <w:tc>
          <w:tcPr>
            <w:tcW w:w="178" w:type="dxa"/>
            <w:tcBorders>
              <w:bottom w:val="single" w:sz="8" w:space="0" w:color="000000"/>
            </w:tcBorders>
            <w:tcMar>
              <w:bottom w:w="28" w:type="dxa"/>
            </w:tcMar>
            <w:vAlign w:val="center"/>
          </w:tcPr>
          <w:p>
            <w:pPr>
              <w:pStyle w:val="TableContents"/>
              <w:bidi w:val="0"/>
              <w:spacing w:before="0" w:after="0"/>
              <w:jc w:val="left"/>
              <w:rPr/>
            </w:pPr>
            <w:r>
              <w:rPr/>
              <w:t> </w:t>
            </w:r>
          </w:p>
        </w:tc>
        <w:tc>
          <w:tcPr>
            <w:tcW w:w="178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May not serve on more than two other public company boards</w:t>
            </w:r>
          </w:p>
        </w:tc>
        <w:tc>
          <w:tcPr>
            <w:tcW w:w="178" w:type="dxa"/>
            <w:tcBorders>
              <w:bottom w:val="single" w:sz="8" w:space="0" w:color="000000"/>
            </w:tcBorders>
            <w:tcMar>
              <w:bottom w:w="28" w:type="dxa"/>
            </w:tcMar>
            <w:vAlign w:val="center"/>
          </w:tcPr>
          <w:p>
            <w:pPr>
              <w:pStyle w:val="TableContents"/>
              <w:bidi w:val="0"/>
              <w:spacing w:before="0" w:after="0"/>
              <w:jc w:val="left"/>
              <w:rPr/>
            </w:pPr>
            <w:r>
              <w:rPr/>
              <w:t> </w:t>
            </w:r>
          </w:p>
        </w:tc>
        <w:tc>
          <w:tcPr>
            <w:tcW w:w="178" w:type="dxa"/>
            <w:tcBorders>
              <w:bottom w:val="single" w:sz="8" w:space="0" w:color="000000"/>
            </w:tcBorders>
            <w:tcMar>
              <w:bottom w:w="28" w:type="dxa"/>
            </w:tcMar>
            <w:vAlign w:val="center"/>
          </w:tcPr>
          <w:p>
            <w:pPr>
              <w:pStyle w:val="TableContents"/>
              <w:bidi w:val="0"/>
              <w:spacing w:before="0" w:after="0"/>
              <w:jc w:val="left"/>
              <w:rPr/>
            </w:pPr>
            <w:r>
              <w:rPr/>
              <w:t> </w:t>
            </w:r>
          </w:p>
        </w:tc>
        <w:tc>
          <w:tcPr>
            <w:tcW w:w="164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Key governance practices/framework for the Board and committees</w:t>
            </w:r>
          </w:p>
        </w:tc>
        <w:tc>
          <w:tcPr>
            <w:tcW w:w="178" w:type="dxa"/>
            <w:tcBorders>
              <w:bottom w:val="single" w:sz="8" w:space="0" w:color="000000"/>
            </w:tcBorders>
            <w:tcMar>
              <w:bottom w:w="28" w:type="dxa"/>
            </w:tcMar>
            <w:vAlign w:val="center"/>
          </w:tcPr>
          <w:p>
            <w:pPr>
              <w:pStyle w:val="TableContents"/>
              <w:bidi w:val="0"/>
              <w:spacing w:before="0" w:after="0"/>
              <w:jc w:val="left"/>
              <w:rPr/>
            </w:pPr>
            <w:r>
              <w:rPr/>
              <w:t> </w:t>
            </w:r>
          </w:p>
        </w:tc>
        <w:tc>
          <w:tcPr>
            <w:tcW w:w="178" w:type="dxa"/>
            <w:tcBorders>
              <w:bottom w:val="single" w:sz="8" w:space="0" w:color="000000"/>
            </w:tcBorders>
            <w:tcMar>
              <w:bottom w:w="28" w:type="dxa"/>
            </w:tcMar>
            <w:vAlign w:val="center"/>
          </w:tcPr>
          <w:p>
            <w:pPr>
              <w:pStyle w:val="TableContents"/>
              <w:bidi w:val="0"/>
              <w:spacing w:before="0" w:after="0"/>
              <w:jc w:val="left"/>
              <w:rPr/>
            </w:pPr>
            <w:r>
              <w:rPr/>
              <w:t> </w:t>
            </w:r>
          </w:p>
        </w:tc>
        <w:tc>
          <w:tcPr>
            <w:tcW w:w="1477"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The Board held four executive sessions during the 2026 fiscal year</w:t>
            </w:r>
          </w:p>
        </w:tc>
        <w:tc>
          <w:tcPr>
            <w:tcW w:w="178" w:type="dxa"/>
            <w:tcBorders>
              <w:bottom w:val="single" w:sz="8" w:space="0" w:color="000000"/>
            </w:tcBorders>
            <w:tcMar>
              <w:bottom w:w="28" w:type="dxa"/>
            </w:tcMar>
            <w:vAlign w:val="center"/>
          </w:tcPr>
          <w:p>
            <w:pPr>
              <w:pStyle w:val="TableContents"/>
              <w:bidi w:val="0"/>
              <w:spacing w:before="0" w:after="0"/>
              <w:jc w:val="left"/>
              <w:rPr/>
            </w:pPr>
            <w:r>
              <w:rPr/>
              <w:t> </w:t>
            </w:r>
          </w:p>
        </w:tc>
        <w:tc>
          <w:tcPr>
            <w:tcW w:w="178" w:type="dxa"/>
            <w:tcBorders>
              <w:bottom w:val="single" w:sz="8" w:space="0" w:color="000000"/>
            </w:tcBorders>
            <w:tcMar>
              <w:bottom w:w="28" w:type="dxa"/>
            </w:tcMar>
            <w:vAlign w:val="center"/>
          </w:tcPr>
          <w:p>
            <w:pPr>
              <w:pStyle w:val="TableContents"/>
              <w:bidi w:val="0"/>
              <w:spacing w:before="0" w:after="0"/>
              <w:jc w:val="left"/>
              <w:rPr/>
            </w:pPr>
            <w:r>
              <w:rPr/>
              <w:t> </w:t>
            </w:r>
          </w:p>
        </w:tc>
        <w:tc>
          <w:tcPr>
            <w:tcW w:w="1664"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Absent good reason, tenure limit of 15 years and/or age limit of 75 years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801" w:type="dxa"/>
            <w:gridSpan w:val="13"/>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Additional Information </w:t>
            </w:r>
          </w:p>
        </w:tc>
        <w:tc>
          <w:tcPr>
            <w:tcW w:w="219"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1" w:type="dxa"/>
            <w:gridSpan w:val="13"/>
            <w:tcBorders/>
            <w:vAlign w:val="center"/>
          </w:tcPr>
          <w:p>
            <w:pPr>
              <w:pStyle w:val="TableContents"/>
              <w:bidi w:val="0"/>
              <w:spacing w:before="0" w:after="283"/>
              <w:ind w:left="35" w:right="0" w:hanging="0"/>
              <w:jc w:val="left"/>
              <w:rPr>
                <w:rFonts w:ascii="Times New Roman;Times;serif" w:hAnsi="Times New Roman;Times;serif"/>
                <w:b/>
                <w:color w:val="000000"/>
                <w:sz w:val="17"/>
              </w:rPr>
            </w:pPr>
            <w:r>
              <w:rPr>
                <w:rFonts w:ascii="Times New Roman;Times;serif" w:hAnsi="Times New Roman;Times;serif"/>
                <w:b/>
                <w:color w:val="000000"/>
                <w:sz w:val="17"/>
              </w:rPr>
              <w:t>Over-Boarding</w:t>
            </w:r>
            <w:r>
              <w:rPr>
                <w:rFonts w:ascii="Times New Roman;Times;serif" w:hAnsi="Times New Roman;Times;serif"/>
                <w:b w:val="false"/>
                <w:color w:val="000000"/>
                <w:sz w:val="17"/>
              </w:rPr>
              <w:t>: Under the Guidelines, directors may not serve on more than two other public company boards. In addition, service on the boards of not-for-profit organizations or other entities that may require a similar time commitment must be disclosed and be acceptable to the Board. In addition, outside board service is required to be disclosed to the Board Chair and NCG Committee Chair prior to acceptance in order to comply with these limits and avoid any conflicts of interest.</w:t>
            </w:r>
          </w:p>
          <w:p>
            <w:pPr>
              <w:pStyle w:val="TableContents"/>
              <w:bidi w:val="0"/>
              <w:spacing w:before="0" w:after="283"/>
              <w:ind w:left="35" w:right="0" w:hanging="0"/>
              <w:jc w:val="left"/>
              <w:rPr>
                <w:color w:val="000000"/>
              </w:rPr>
            </w:pPr>
            <w:r>
              <w:rPr>
                <w:color w:val="000000"/>
              </w:rPr>
              <w:t xml:space="preserve">  </w:t>
            </w:r>
          </w:p>
          <w:p>
            <w:pPr>
              <w:pStyle w:val="TableContents"/>
              <w:bidi w:val="0"/>
              <w:spacing w:before="0" w:after="283"/>
              <w:ind w:left="35" w:right="0" w:hanging="0"/>
              <w:jc w:val="left"/>
              <w:rPr>
                <w:rFonts w:ascii="Times New Roman;Times;serif" w:hAnsi="Times New Roman;Times;serif"/>
                <w:b/>
                <w:color w:val="000000"/>
                <w:sz w:val="17"/>
              </w:rPr>
            </w:pPr>
            <w:r>
              <w:rPr>
                <w:rFonts w:ascii="Times New Roman;Times;serif" w:hAnsi="Times New Roman;Times;serif"/>
                <w:b/>
                <w:color w:val="000000"/>
                <w:sz w:val="17"/>
              </w:rPr>
              <w:t>Executive Sessions</w:t>
            </w:r>
            <w:r>
              <w:rPr>
                <w:rFonts w:ascii="Times New Roman;Times;serif" w:hAnsi="Times New Roman;Times;serif"/>
                <w:b w:val="false"/>
                <w:color w:val="000000"/>
                <w:sz w:val="17"/>
              </w:rPr>
              <w:t>: The Guidelines require a minimum of two executive sessions, led by the LID, in which only the independent directors are present, to be held each year in conjunction with regularly scheduled Board meetings. It is the Board’s current practice to hold at least one executive session in conjunction with every regularly scheduled Board meeting.</w:t>
            </w:r>
          </w:p>
          <w:p>
            <w:pPr>
              <w:pStyle w:val="TableContents"/>
              <w:bidi w:val="0"/>
              <w:spacing w:before="0" w:after="283"/>
              <w:ind w:left="35" w:right="0" w:hanging="0"/>
              <w:jc w:val="left"/>
              <w:rPr>
                <w:color w:val="000000"/>
              </w:rPr>
            </w:pPr>
            <w:r>
              <w:rPr>
                <w:color w:val="000000"/>
              </w:rPr>
              <w:t> </w:t>
            </w:r>
          </w:p>
          <w:p>
            <w:pPr>
              <w:pStyle w:val="TableContents"/>
              <w:bidi w:val="0"/>
              <w:spacing w:before="0" w:after="283"/>
              <w:ind w:left="35" w:right="0" w:hanging="0"/>
              <w:jc w:val="left"/>
              <w:rPr>
                <w:rFonts w:ascii="Times New Roman;Times;serif" w:hAnsi="Times New Roman;Times;serif"/>
                <w:b/>
                <w:color w:val="000000"/>
                <w:sz w:val="17"/>
              </w:rPr>
            </w:pPr>
            <w:r>
              <w:rPr>
                <w:rFonts w:ascii="Times New Roman;Times;serif" w:hAnsi="Times New Roman;Times;serif"/>
                <w:b/>
                <w:color w:val="000000"/>
                <w:sz w:val="17"/>
              </w:rPr>
              <w:t>Age/Tenure Limits</w:t>
            </w:r>
            <w:r>
              <w:rPr>
                <w:rFonts w:ascii="Times New Roman;Times;serif" w:hAnsi="Times New Roman;Times;serif"/>
                <w:b w:val="false"/>
                <w:color w:val="000000"/>
                <w:sz w:val="17"/>
              </w:rPr>
              <w:t>: Individual directors will generally not stand for re-election after completing 15 years of service on the Board or after reaching 75 years of age, subject to extension at the discretion of the Board.</w:t>
            </w:r>
          </w:p>
        </w:tc>
        <w:tc>
          <w:tcPr>
            <w:tcW w:w="219"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1" w:type="dxa"/>
            <w:gridSpan w:val="13"/>
            <w:tcBorders>
              <w:bottom w:val="single" w:sz="8" w:space="0" w:color="000000"/>
            </w:tcBorders>
            <w:tcMar>
              <w:bottom w:w="28" w:type="dxa"/>
            </w:tcMar>
            <w:vAlign w:val="center"/>
          </w:tcPr>
          <w:p>
            <w:pPr>
              <w:pStyle w:val="TableContents"/>
              <w:bidi w:val="0"/>
              <w:spacing w:before="0" w:after="0"/>
              <w:jc w:val="left"/>
              <w:rPr/>
            </w:pPr>
            <w:r>
              <w:rPr/>
              <w:t>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55" w:after="283"/>
        <w:ind w:left="0" w:right="0" w:hanging="0"/>
        <w:jc w:val="left"/>
        <w:rPr>
          <w:color w:val="000000"/>
        </w:rPr>
      </w:pPr>
      <w:r>
        <w:rPr>
          <w:color w:val="000000"/>
        </w:rPr>
        <w:t xml:space="preserve">  </w:t>
      </w:r>
    </w:p>
    <w:p>
      <w:pPr>
        <w:pStyle w:val="Normal"/>
        <w:bidi w:val="0"/>
        <w:spacing w:before="0" w:after="0"/>
        <w:ind w:left="0" w:right="0" w:hanging="0"/>
        <w:jc w:val="left"/>
        <w:rPr>
          <w:sz w:val="4"/>
          <w:szCs w:val="4"/>
        </w:rPr>
      </w:pPr>
      <w:r>
        <w:rPr>
          <w:sz w:val="4"/>
          <w:szCs w:val="4"/>
        </w:rPr>
      </w:r>
      <w:bookmarkStart w:id="51" w:name="tSE"/>
      <w:bookmarkStart w:id="52" w:name="tSE"/>
      <w:bookmarkEnd w:id="52"/>
    </w:p>
    <w:tbl>
      <w:tblPr>
        <w:tblW w:w="10205" w:type="dxa"/>
        <w:jc w:val="left"/>
        <w:tblInd w:w="0" w:type="dxa"/>
        <w:tblLayout w:type="fixed"/>
        <w:tblCellMar>
          <w:top w:w="0" w:type="dxa"/>
          <w:left w:w="0" w:type="dxa"/>
          <w:bottom w:w="0" w:type="dxa"/>
          <w:right w:w="0" w:type="dxa"/>
        </w:tblCellMar>
      </w:tblPr>
      <w:tblGrid>
        <w:gridCol w:w="185"/>
        <w:gridCol w:w="3209"/>
        <w:gridCol w:w="187"/>
        <w:gridCol w:w="187"/>
        <w:gridCol w:w="2603"/>
        <w:gridCol w:w="187"/>
        <w:gridCol w:w="187"/>
        <w:gridCol w:w="3241"/>
        <w:gridCol w:w="219"/>
      </w:tblGrid>
      <w:tr>
        <w:trPr/>
        <w:tc>
          <w:tcPr>
            <w:tcW w:w="185" w:type="dxa"/>
            <w:tcBorders/>
            <w:shd w:fill="D9D9D9" w:val="clear"/>
            <w:vAlign w:val="center"/>
          </w:tcPr>
          <w:p>
            <w:pPr>
              <w:pStyle w:val="TableContents"/>
              <w:bidi w:val="0"/>
              <w:spacing w:before="0" w:after="0"/>
              <w:jc w:val="left"/>
              <w:rPr/>
            </w:pPr>
            <w:r>
              <w:rPr/>
              <w:t> </w:t>
            </w:r>
          </w:p>
        </w:tc>
        <w:tc>
          <w:tcPr>
            <w:tcW w:w="9801" w:type="dxa"/>
            <w:gridSpan w:val="7"/>
            <w:tcBorders/>
            <w:shd w:fill="D9D9D9" w:val="clear"/>
            <w:vAlign w:val="center"/>
          </w:tcPr>
          <w:p>
            <w:pPr>
              <w:pStyle w:val="TableContents"/>
              <w:bidi w:val="0"/>
              <w:spacing w:before="0" w:after="0"/>
              <w:jc w:val="left"/>
              <w:rPr/>
            </w:pPr>
            <w:r>
              <w:rPr/>
              <w:t> </w:t>
            </w:r>
          </w:p>
        </w:tc>
        <w:tc>
          <w:tcPr>
            <w:tcW w:w="219"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1" w:type="dxa"/>
            <w:gridSpan w:val="7"/>
            <w:tcBorders>
              <w:bottom w:val="single" w:sz="8" w:space="0" w:color="000000"/>
            </w:tcBorders>
            <w:shd w:fill="D9D9D9"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SHAREHOLDER ENGAGEMENT </w:t>
            </w:r>
          </w:p>
        </w:tc>
        <w:tc>
          <w:tcPr>
            <w:tcW w:w="219"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209"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Regular and Direct Shareholder Engagement</w:t>
            </w:r>
          </w:p>
        </w:tc>
        <w:tc>
          <w:tcPr>
            <w:tcW w:w="187"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87"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603"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Regular Investor Conference Attendee</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and Participant</w:t>
            </w:r>
          </w:p>
        </w:tc>
        <w:tc>
          <w:tcPr>
            <w:tcW w:w="187"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87"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241" w:type="dxa"/>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Director Attendance at the Annual Meeting </w:t>
            </w:r>
          </w:p>
        </w:tc>
        <w:tc>
          <w:tcPr>
            <w:tcW w:w="219"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209"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During the 2026 fiscal year, the Company directly engaged with nearly half of its largest 100 shareholders</w:t>
            </w:r>
          </w:p>
        </w:tc>
        <w:tc>
          <w:tcPr>
            <w:tcW w:w="187"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87" w:type="dxa"/>
            <w:tcBorders>
              <w:bottom w:val="single" w:sz="8" w:space="0" w:color="000000"/>
            </w:tcBorders>
            <w:tcMar>
              <w:bottom w:w="28" w:type="dxa"/>
            </w:tcMar>
            <w:vAlign w:val="center"/>
          </w:tcPr>
          <w:p>
            <w:pPr>
              <w:pStyle w:val="TableContents"/>
              <w:bidi w:val="0"/>
              <w:spacing w:before="0" w:after="0"/>
              <w:jc w:val="left"/>
              <w:rPr/>
            </w:pPr>
            <w:r>
              <w:rPr/>
              <w:t> </w:t>
            </w:r>
          </w:p>
        </w:tc>
        <w:tc>
          <w:tcPr>
            <w:tcW w:w="2603"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Participation and presentations are made available to the public via live webcast</w:t>
            </w:r>
          </w:p>
        </w:tc>
        <w:tc>
          <w:tcPr>
            <w:tcW w:w="187"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87" w:type="dxa"/>
            <w:tcBorders>
              <w:bottom w:val="single" w:sz="8" w:space="0" w:color="000000"/>
            </w:tcBorders>
            <w:tcMar>
              <w:bottom w:w="28" w:type="dxa"/>
            </w:tcMar>
            <w:vAlign w:val="center"/>
          </w:tcPr>
          <w:p>
            <w:pPr>
              <w:pStyle w:val="TableContents"/>
              <w:bidi w:val="0"/>
              <w:spacing w:before="0" w:after="0"/>
              <w:jc w:val="left"/>
              <w:rPr/>
            </w:pPr>
            <w:r>
              <w:rPr/>
              <w:t> </w:t>
            </w:r>
          </w:p>
        </w:tc>
        <w:tc>
          <w:tcPr>
            <w:tcW w:w="3241"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All directors are required to attend the annual shareholders’ meeting and be available to answer questions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801" w:type="dxa"/>
            <w:gridSpan w:val="7"/>
            <w:tcBorders>
              <w:bottom w:val="single" w:sz="8" w:space="0" w:color="000000"/>
            </w:tcBorders>
            <w:shd w:fill="F2F2F2"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Additional Information </w:t>
            </w:r>
          </w:p>
        </w:tc>
        <w:tc>
          <w:tcPr>
            <w:tcW w:w="219"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1" w:type="dxa"/>
            <w:gridSpan w:val="7"/>
            <w:tcBorders/>
            <w:vAlign w:val="center"/>
          </w:tcPr>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rPr>
              <w:t>Engagement</w:t>
            </w:r>
            <w:r>
              <w:rPr>
                <w:rFonts w:ascii="Times New Roman;Times;serif" w:hAnsi="Times New Roman;Times;serif"/>
                <w:b w:val="false"/>
                <w:color w:val="000000"/>
                <w:sz w:val="18"/>
              </w:rPr>
              <w:t>: The Company embraces shareholder engagement as an important tenet of good corporate governance, which promotes the long-term interests of our shareholders. As part of this commitment, the Company regularly and actively engages with shareholders and other investors and stakeholders to solicit input, better understand their viewpoints, answer questions and discuss our performance and strategic plan.</w:t>
            </w:r>
          </w:p>
          <w:p>
            <w:pPr>
              <w:pStyle w:val="TableContents"/>
              <w:bidi w:val="0"/>
              <w:spacing w:before="0" w:after="283"/>
              <w:ind w:left="35" w:right="0" w:hanging="0"/>
              <w:jc w:val="left"/>
              <w:rPr>
                <w:color w:val="000000"/>
              </w:rPr>
            </w:pPr>
            <w:r>
              <w:rPr>
                <w:color w:val="000000"/>
              </w:rPr>
              <w:t> </w:t>
            </w:r>
          </w:p>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rPr>
              <w:t>Director Attendance at Annual Meetings</w:t>
            </w:r>
            <w:r>
              <w:rPr>
                <w:rFonts w:ascii="Times New Roman;Times;serif" w:hAnsi="Times New Roman;Times;serif"/>
                <w:b w:val="false"/>
                <w:color w:val="000000"/>
                <w:sz w:val="18"/>
              </w:rPr>
              <w:t>: The Company is committed to ensuring that shareholders be afforded the same rights and opportunities to participate at the virtual Annual Meeting as they would at an in-person meeting. As such, shareholders are able to submit questions to the Board during the Annual Meeting by following the question prompts on the meeting website and typing the question into the space provided therefor.</w:t>
            </w:r>
          </w:p>
        </w:tc>
        <w:tc>
          <w:tcPr>
            <w:tcW w:w="219"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1" w:type="dxa"/>
            <w:gridSpan w:val="7"/>
            <w:tcBorders>
              <w:bottom w:val="single" w:sz="8" w:space="0" w:color="000000"/>
            </w:tcBorders>
            <w:tcMar>
              <w:bottom w:w="28" w:type="dxa"/>
            </w:tcMar>
            <w:vAlign w:val="center"/>
          </w:tcPr>
          <w:p>
            <w:pPr>
              <w:pStyle w:val="TableContents"/>
              <w:bidi w:val="0"/>
              <w:spacing w:before="0" w:after="0"/>
              <w:jc w:val="left"/>
              <w:rPr/>
            </w:pPr>
            <w:r>
              <w:rPr/>
              <w:t>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5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0" descr=""/>
                          <pic:cNvPicPr>
                            <a:picLocks noChangeAspect="1" noChangeArrowheads="1"/>
                          </pic:cNvPicPr>
                        </pic:nvPicPr>
                        <pic:blipFill>
                          <a:blip r:embed="rId51"/>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3" w:name="ny20072699x1_def14a_107-directors_pg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bookmarkStart w:id="54" w:name="tBDC"/>
      <w:bookmarkEnd w:id="54"/>
      <w:r>
        <w:rPr>
          <w:rFonts w:ascii="Times New Roman;Times;serif" w:hAnsi="Times New Roman;Times;serif"/>
          <w:b/>
          <w:color w:val="000000"/>
          <w:sz w:val="24"/>
          <w:u w:val="single"/>
        </w:rPr>
        <w:t>THE BOARD OF DIRECTORS AND ITS COMMITTEES</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Members of the Board are kept informed of the Company’s business through discussions with the Board Chair/CEO, the Company’s senior leadership team and other executives and key employees, by reviewing comprehensive materials provided to them, and by participating in regular Board and committee meetings, including closed and executive sessions. Between meetings, directors are provided with information regarding the Company’s strategy, operations and performance, and are frequently consulted on an informal basis by the Board Chair/CEO and the Company’s senior leadership team with respect to ongoing matters.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Directors are expected to attend all Board meetings, meetings of the committees on which they serve, and each annual shareholders’ meeting. The Board held five meetings during the 2026 fiscal year. Each director attended 100% of the Board and applicable committee meetings during their service throughout the 2026 fiscal year and all directors (other than Mr. Sutula, who was not elected to the Board until June 4, 2026) attended last year’s annual shareholders’ meeting. </w:t>
      </w:r>
    </w:p>
    <w:p>
      <w:pPr>
        <w:pStyle w:val="TextBody"/>
        <w:bidi w:val="0"/>
        <w:spacing w:before="280" w:after="283"/>
        <w:ind w:left="0" w:right="0" w:hanging="0"/>
        <w:jc w:val="left"/>
        <w:rPr>
          <w:rFonts w:ascii="Times New Roman;Times;serif" w:hAnsi="Times New Roman;Times;serif"/>
          <w:b/>
          <w:color w:val="000000"/>
          <w:sz w:val="19"/>
        </w:rPr>
      </w:pPr>
      <w:bookmarkStart w:id="55" w:name="tDI"/>
      <w:bookmarkEnd w:id="55"/>
      <w:r>
        <w:rPr>
          <w:rFonts w:ascii="Times New Roman;Times;serif" w:hAnsi="Times New Roman;Times;serif"/>
          <w:b/>
          <w:color w:val="000000"/>
          <w:sz w:val="19"/>
          <w:u w:val="single"/>
        </w:rPr>
        <w:t>Director Independence</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 making independence determinations, the Board observes the independence criteria in the Nasdaq Listing Standards. Consistent with these criteria, the Board considers all relationships and material transactions between the Company and the director-nominees (and any affiliated companies), and has affirmatively determined that all current directors, other than Mr. Rebelez as the President/CEO, and all committee members, are “independent”. As such, a substantial majority of the Board is independent, as so defined. </w:t>
      </w:r>
    </w:p>
    <w:p>
      <w:pPr>
        <w:pStyle w:val="TextBody"/>
        <w:bidi w:val="0"/>
        <w:spacing w:before="280" w:after="283"/>
        <w:ind w:left="0" w:right="0" w:hanging="0"/>
        <w:jc w:val="left"/>
        <w:rPr>
          <w:rFonts w:ascii="Times New Roman;Times;serif" w:hAnsi="Times New Roman;Times;serif"/>
          <w:b/>
          <w:color w:val="000000"/>
          <w:sz w:val="19"/>
        </w:rPr>
      </w:pPr>
      <w:bookmarkStart w:id="56" w:name="tBOC"/>
      <w:bookmarkEnd w:id="56"/>
      <w:r>
        <w:rPr>
          <w:rFonts w:ascii="Times New Roman;Times;serif" w:hAnsi="Times New Roman;Times;serif"/>
          <w:b/>
          <w:color w:val="000000"/>
          <w:sz w:val="19"/>
          <w:u w:val="single"/>
        </w:rPr>
        <w:t>Board Committees</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Bylaws provide for three standing committees of the Board: </w:t>
      </w:r>
      <w:r>
        <w:rPr>
          <w:rFonts w:ascii="Times New Roman;Times;serif" w:hAnsi="Times New Roman;Times;serif"/>
          <w:b/>
          <w:color w:val="000000"/>
          <w:sz w:val="19"/>
        </w:rPr>
        <w:t>Audit</w:t>
      </w:r>
      <w:r>
        <w:rPr>
          <w:rFonts w:ascii="Times New Roman;Times;serif" w:hAnsi="Times New Roman;Times;serif"/>
          <w:color w:val="000000"/>
          <w:sz w:val="19"/>
        </w:rPr>
        <w:t xml:space="preserve">, </w:t>
      </w:r>
      <w:r>
        <w:rPr>
          <w:rFonts w:ascii="Times New Roman;Times;serif" w:hAnsi="Times New Roman;Times;serif"/>
          <w:b/>
          <w:color w:val="000000"/>
          <w:sz w:val="19"/>
        </w:rPr>
        <w:t>Compensation and Human Capital Committee</w:t>
      </w:r>
      <w:r>
        <w:rPr>
          <w:rFonts w:ascii="Times New Roman;Times;serif" w:hAnsi="Times New Roman;Times;serif"/>
          <w:color w:val="000000"/>
          <w:sz w:val="19"/>
        </w:rPr>
        <w:t xml:space="preserve">, and </w:t>
      </w:r>
      <w:r>
        <w:rPr>
          <w:rFonts w:ascii="Times New Roman;Times;serif" w:hAnsi="Times New Roman;Times;serif"/>
          <w:b/>
          <w:color w:val="000000"/>
          <w:sz w:val="19"/>
        </w:rPr>
        <w:t>Nominating and Corporate Governance</w:t>
      </w:r>
      <w:r>
        <w:rPr>
          <w:rFonts w:ascii="Times New Roman;Times;serif" w:hAnsi="Times New Roman;Times;serif"/>
          <w:color w:val="000000"/>
          <w:sz w:val="19"/>
        </w:rPr>
        <w:t xml:space="preserve">. In addition, the Bylaws authorize the Board to establish other committees for selected purposes, none of which were in existence during the 2026 fiscal year. </w:t>
      </w:r>
    </w:p>
    <w:tbl>
      <w:tblPr>
        <w:tblW w:w="9645" w:type="dxa"/>
        <w:jc w:val="left"/>
        <w:tblInd w:w="0" w:type="dxa"/>
        <w:tblLayout w:type="fixed"/>
        <w:tblCellMar>
          <w:top w:w="0" w:type="dxa"/>
          <w:left w:w="0" w:type="dxa"/>
          <w:bottom w:w="0" w:type="dxa"/>
          <w:right w:w="0" w:type="dxa"/>
        </w:tblCellMar>
      </w:tblPr>
      <w:tblGrid>
        <w:gridCol w:w="185"/>
        <w:gridCol w:w="9245"/>
        <w:gridCol w:w="215"/>
      </w:tblGrid>
      <w:tr>
        <w:trPr/>
        <w:tc>
          <w:tcPr>
            <w:tcW w:w="185" w:type="dxa"/>
            <w:tcBorders/>
            <w:shd w:fill="D9D9D9" w:val="clear"/>
            <w:vAlign w:val="center"/>
          </w:tcPr>
          <w:p>
            <w:pPr>
              <w:pStyle w:val="TableContents"/>
              <w:bidi w:val="0"/>
              <w:spacing w:before="0" w:after="0"/>
              <w:jc w:val="left"/>
              <w:rPr/>
            </w:pPr>
            <w:r>
              <w:rPr/>
              <w:t> </w:t>
            </w:r>
          </w:p>
        </w:tc>
        <w:tc>
          <w:tcPr>
            <w:tcW w:w="9245"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245"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Information About the Board Committees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24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(I) = Independent under Nasdaq Listing Standards, ACFE = Audit Committee Financial Expert under Item 407(d)(5) of Reg. S-K</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24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252"/>
        <w:gridCol w:w="209"/>
        <w:gridCol w:w="209"/>
        <w:gridCol w:w="1431"/>
        <w:gridCol w:w="209"/>
        <w:gridCol w:w="209"/>
        <w:gridCol w:w="1181"/>
        <w:gridCol w:w="209"/>
        <w:gridCol w:w="209"/>
        <w:gridCol w:w="1260"/>
        <w:gridCol w:w="209"/>
        <w:gridCol w:w="209"/>
        <w:gridCol w:w="1241"/>
        <w:gridCol w:w="209"/>
        <w:gridCol w:w="209"/>
        <w:gridCol w:w="1347"/>
        <w:gridCol w:w="218"/>
      </w:tblGrid>
      <w:tr>
        <w:trPr/>
        <w:tc>
          <w:tcPr>
            <w:tcW w:w="185" w:type="dxa"/>
            <w:tcBorders/>
            <w:shd w:fill="D9D9D9" w:val="clear"/>
            <w:vAlign w:val="center"/>
          </w:tcPr>
          <w:p>
            <w:pPr>
              <w:pStyle w:val="TableContents"/>
              <w:bidi w:val="0"/>
              <w:spacing w:before="0" w:after="0"/>
              <w:jc w:val="left"/>
              <w:rPr/>
            </w:pPr>
            <w:r>
              <w:rPr/>
              <w:t> </w:t>
            </w:r>
          </w:p>
        </w:tc>
        <w:tc>
          <w:tcPr>
            <w:tcW w:w="9802" w:type="dxa"/>
            <w:gridSpan w:val="16"/>
            <w:tcBorders/>
            <w:shd w:fill="D9D9D9" w:val="clear"/>
            <w:vAlign w:val="center"/>
          </w:tcPr>
          <w:p>
            <w:pPr>
              <w:pStyle w:val="TableContents"/>
              <w:bidi w:val="0"/>
              <w:spacing w:before="0" w:after="0"/>
              <w:jc w:val="left"/>
              <w:rPr/>
            </w:pPr>
            <w:r>
              <w:rPr/>
              <w:t> </w:t>
            </w:r>
          </w:p>
        </w:tc>
        <w:tc>
          <w:tcPr>
            <w:tcW w:w="218"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2" w:type="dxa"/>
            <w:gridSpan w:val="16"/>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AUDIT COMMITTEE </w:t>
            </w:r>
          </w:p>
        </w:tc>
        <w:tc>
          <w:tcPr>
            <w:tcW w:w="218"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252"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u w:val="single"/>
              </w:rPr>
            </w:pPr>
            <w:r>
              <w:rPr>
                <w:rFonts w:ascii="Times New Roman;Times;serif" w:hAnsi="Times New Roman;Times;serif"/>
                <w:b/>
                <w:color w:val="000000"/>
                <w:sz w:val="17"/>
                <w:u w:val="single"/>
              </w:rPr>
              <w:t>Committee Members</w:t>
            </w:r>
          </w:p>
          <w:p>
            <w:pPr>
              <w:pStyle w:val="TableContents"/>
              <w:bidi w:val="0"/>
              <w:spacing w:before="0" w:after="283"/>
              <w:jc w:val="center"/>
              <w:rPr>
                <w:color w:val="000000"/>
              </w:rPr>
            </w:pPr>
            <w:r>
              <w:rPr>
                <w:color w:val="000000"/>
              </w:rPr>
              <w:t> </w:t>
            </w:r>
          </w:p>
          <w:p>
            <w:pPr>
              <w:pStyle w:val="TableContents"/>
              <w:bidi w:val="0"/>
              <w:spacing w:before="0" w:after="283"/>
              <w:jc w:val="center"/>
              <w:rPr>
                <w:color w:val="000000"/>
              </w:rPr>
            </w:pPr>
            <w:r>
              <w:rPr>
                <w:color w:val="000000"/>
              </w:rPr>
              <w:t xml:space="preserve">✔ </w:t>
            </w:r>
            <w:r>
              <w:rPr>
                <w:rFonts w:ascii="Times New Roman;Times;serif" w:hAnsi="Times New Roman;Times;serif"/>
                <w:b/>
                <w:color w:val="000000"/>
                <w:sz w:val="17"/>
              </w:rPr>
              <w:t>100% Independent</w:t>
            </w:r>
          </w:p>
        </w:tc>
        <w:tc>
          <w:tcPr>
            <w:tcW w:w="209"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c>
          <w:tcPr>
            <w:tcW w:w="1431" w:type="dxa"/>
            <w:tcBorders>
              <w:bottom w:val="single" w:sz="8" w:space="0" w:color="000000"/>
            </w:tcBorders>
            <w:tcMar>
              <w:bottom w:w="58" w:type="dxa"/>
            </w:tcMar>
            <w:vAlign w:val="center"/>
          </w:tcPr>
          <w:p>
            <w:pPr>
              <w:pStyle w:val="TableContents"/>
              <w:bidi w:val="0"/>
              <w:spacing w:before="0" w:after="283"/>
              <w:jc w:val="center"/>
              <w:rPr>
                <w:color w:val="000000"/>
              </w:rPr>
            </w:pPr>
            <w:r>
              <w:rPr>
                <w:color w:val="000000"/>
              </w:rPr>
              <w:drawing>
                <wp:inline distT="0" distB="0" distL="0" distR="0">
                  <wp:extent cx="581025" cy="581025"/>
                  <wp:effectExtent l="0" t="0" r="0" b="0"/>
                  <wp:docPr id="5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1" descr=""/>
                          <pic:cNvPicPr>
                            <a:picLocks noChangeAspect="1" noChangeArrowheads="1"/>
                          </pic:cNvPicPr>
                        </pic:nvPicPr>
                        <pic:blipFill>
                          <a:blip r:embed="rId52"/>
                          <a:stretch>
                            <a:fillRect/>
                          </a:stretch>
                        </pic:blipFill>
                        <pic:spPr bwMode="auto">
                          <a:xfrm>
                            <a:off x="0" y="0"/>
                            <a:ext cx="581025" cy="5810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Maria Castañón Moats –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Chair (I), ACFE</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c>
          <w:tcPr>
            <w:tcW w:w="1181" w:type="dxa"/>
            <w:tcBorders>
              <w:bottom w:val="single" w:sz="8" w:space="0" w:color="000000"/>
            </w:tcBorders>
            <w:tcMar>
              <w:bottom w:w="58" w:type="dxa"/>
            </w:tcMar>
            <w:vAlign w:val="center"/>
          </w:tcPr>
          <w:p>
            <w:pPr>
              <w:pStyle w:val="TableContents"/>
              <w:bidi w:val="0"/>
              <w:spacing w:before="0" w:after="283"/>
              <w:jc w:val="center"/>
              <w:rPr>
                <w:color w:val="000000"/>
              </w:rPr>
            </w:pPr>
            <w:r>
              <w:rPr>
                <w:color w:val="000000"/>
              </w:rPr>
              <w:drawing>
                <wp:inline distT="0" distB="0" distL="0" distR="0">
                  <wp:extent cx="590550" cy="590550"/>
                  <wp:effectExtent l="0" t="0" r="0" b="0"/>
                  <wp:docPr id="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2" descr=""/>
                          <pic:cNvPicPr>
                            <a:picLocks noChangeAspect="1" noChangeArrowheads="1"/>
                          </pic:cNvPicPr>
                        </pic:nvPicPr>
                        <pic:blipFill>
                          <a:blip r:embed="rId53"/>
                          <a:stretch>
                            <a:fillRect/>
                          </a:stretch>
                        </pic:blipFill>
                        <pic:spPr bwMode="auto">
                          <a:xfrm>
                            <a:off x="0" y="0"/>
                            <a:ext cx="590550" cy="59055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Sri Donthi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(I)</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c>
          <w:tcPr>
            <w:tcW w:w="1260" w:type="dxa"/>
            <w:tcBorders>
              <w:bottom w:val="single" w:sz="8" w:space="0" w:color="000000"/>
            </w:tcBorders>
            <w:tcMar>
              <w:bottom w:w="58" w:type="dxa"/>
            </w:tcMar>
            <w:vAlign w:val="center"/>
          </w:tcPr>
          <w:p>
            <w:pPr>
              <w:pStyle w:val="TableContents"/>
              <w:bidi w:val="0"/>
              <w:spacing w:before="0" w:after="283"/>
              <w:jc w:val="center"/>
              <w:rPr>
                <w:color w:val="000000"/>
              </w:rPr>
            </w:pPr>
            <w:r>
              <w:rPr>
                <w:color w:val="000000"/>
              </w:rPr>
              <w:drawing>
                <wp:inline distT="0" distB="0" distL="0" distR="0">
                  <wp:extent cx="581025" cy="581025"/>
                  <wp:effectExtent l="0" t="0" r="0" b="0"/>
                  <wp:docPr id="5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3" descr=""/>
                          <pic:cNvPicPr>
                            <a:picLocks noChangeAspect="1" noChangeArrowheads="1"/>
                          </pic:cNvPicPr>
                        </pic:nvPicPr>
                        <pic:blipFill>
                          <a:blip r:embed="rId54"/>
                          <a:stretch>
                            <a:fillRect/>
                          </a:stretch>
                        </pic:blipFill>
                        <pic:spPr bwMode="auto">
                          <a:xfrm>
                            <a:off x="0" y="0"/>
                            <a:ext cx="581025" cy="5810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Cara K. Heiden*</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(I), ACFE </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c>
          <w:tcPr>
            <w:tcW w:w="1241" w:type="dxa"/>
            <w:tcBorders>
              <w:bottom w:val="single" w:sz="8" w:space="0" w:color="000000"/>
            </w:tcBorders>
            <w:tcMar>
              <w:bottom w:w="58" w:type="dxa"/>
            </w:tcMar>
            <w:vAlign w:val="center"/>
          </w:tcPr>
          <w:p>
            <w:pPr>
              <w:pStyle w:val="TableContents"/>
              <w:bidi w:val="0"/>
              <w:spacing w:before="0" w:after="283"/>
              <w:jc w:val="center"/>
              <w:rPr>
                <w:color w:val="000000"/>
              </w:rPr>
            </w:pPr>
            <w:r>
              <w:rPr>
                <w:color w:val="000000"/>
              </w:rPr>
              <w:drawing>
                <wp:inline distT="0" distB="0" distL="0" distR="0">
                  <wp:extent cx="590550" cy="590550"/>
                  <wp:effectExtent l="0" t="0" r="0" b="0"/>
                  <wp:docPr id="5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4" descr=""/>
                          <pic:cNvPicPr>
                            <a:picLocks noChangeAspect="1" noChangeArrowheads="1"/>
                          </pic:cNvPicPr>
                        </pic:nvPicPr>
                        <pic:blipFill>
                          <a:blip r:embed="rId55"/>
                          <a:stretch>
                            <a:fillRect/>
                          </a:stretch>
                        </pic:blipFill>
                        <pic:spPr bwMode="auto">
                          <a:xfrm>
                            <a:off x="0" y="0"/>
                            <a:ext cx="590550" cy="59055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Michael Spanos</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(I), ACFE </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c>
          <w:tcPr>
            <w:tcW w:w="209" w:type="dxa"/>
            <w:tcBorders>
              <w:bottom w:val="single" w:sz="8" w:space="0" w:color="000000"/>
            </w:tcBorders>
            <w:tcMar>
              <w:bottom w:w="28" w:type="dxa"/>
            </w:tcMar>
            <w:vAlign w:val="center"/>
          </w:tcPr>
          <w:p>
            <w:pPr>
              <w:pStyle w:val="TableContents"/>
              <w:bidi w:val="0"/>
              <w:spacing w:before="0" w:after="0"/>
              <w:jc w:val="left"/>
              <w:rPr/>
            </w:pPr>
            <w:r>
              <w:rPr/>
              <w:t> </w:t>
            </w:r>
          </w:p>
        </w:tc>
        <w:tc>
          <w:tcPr>
            <w:tcW w:w="1347" w:type="dxa"/>
            <w:tcBorders>
              <w:bottom w:val="single" w:sz="8" w:space="0" w:color="000000"/>
            </w:tcBorders>
            <w:tcMar>
              <w:bottom w:w="58" w:type="dxa"/>
            </w:tcMar>
            <w:vAlign w:val="center"/>
          </w:tcPr>
          <w:p>
            <w:pPr>
              <w:pStyle w:val="TableContents"/>
              <w:bidi w:val="0"/>
              <w:spacing w:before="0" w:after="283"/>
              <w:jc w:val="center"/>
              <w:rPr>
                <w:color w:val="000000"/>
              </w:rPr>
            </w:pPr>
            <w:r>
              <w:rPr>
                <w:color w:val="000000"/>
              </w:rPr>
              <w:drawing>
                <wp:inline distT="0" distB="0" distL="0" distR="0">
                  <wp:extent cx="600075" cy="600075"/>
                  <wp:effectExtent l="0" t="0" r="0" b="0"/>
                  <wp:docPr id="5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5" descr=""/>
                          <pic:cNvPicPr>
                            <a:picLocks noChangeAspect="1" noChangeArrowheads="1"/>
                          </pic:cNvPicPr>
                        </pic:nvPicPr>
                        <pic:blipFill>
                          <a:blip r:embed="rId56"/>
                          <a:stretch>
                            <a:fillRect/>
                          </a:stretch>
                        </pic:blipFill>
                        <pic:spPr bwMode="auto">
                          <a:xfrm>
                            <a:off x="0" y="0"/>
                            <a:ext cx="600075" cy="6000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Stanley J. Sutula III</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(I), ACFE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16"/>
            <w:tcBorders/>
            <w:vAlign w:val="center"/>
          </w:tcPr>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The Audit Committee is directly responsible for the appointment, termination, compensation, evaluation and oversight of the independent registered public accounting firm it retains to audit the Company’s books and records. Under its written Charter, the Audit Committee also regularly reports to the Board on the audit and the non-audit activities of the auditors, approves all audit engagement fees, pre-approves any non-audit engagement and compensation of the independent registered public accounting firm, discusses with management major financial risk exposures, correspondence with regulators or government agencies and material legal matters, and performs other duties as set forth in its Charter. In addition, the Committee takes a primary role in the Board’s oversight of the Company’s cybersecurity, artificial intelligence and food safety programs.</w:t>
            </w:r>
          </w:p>
          <w:p>
            <w:pPr>
              <w:pStyle w:val="TableContents"/>
              <w:bidi w:val="0"/>
              <w:spacing w:before="0" w:after="283"/>
              <w:ind w:left="35" w:right="0" w:hanging="0"/>
              <w:jc w:val="left"/>
              <w:rPr>
                <w:color w:val="000000"/>
              </w:rPr>
            </w:pPr>
            <w:r>
              <w:rPr>
                <w:color w:val="000000"/>
              </w:rPr>
              <w:t> </w:t>
            </w:r>
          </w:p>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The Audit Committee meets regularly each year with financial management personnel, internal accounting and auditing staff and the independent registered public accounting firm. The agenda for each regularly scheduled meeting has separate executive sessions for the Audit Committee and each of the CFO, the Sr. Director of Internal Audit and the independent registered public accounting firm.</w:t>
            </w:r>
          </w:p>
          <w:p>
            <w:pPr>
              <w:pStyle w:val="TableContents"/>
              <w:bidi w:val="0"/>
              <w:spacing w:before="0" w:after="283"/>
              <w:ind w:left="35" w:right="0" w:hanging="0"/>
              <w:jc w:val="left"/>
              <w:rPr>
                <w:color w:val="000000"/>
              </w:rPr>
            </w:pPr>
            <w:r>
              <w:rPr>
                <w:color w:val="000000"/>
              </w:rPr>
              <w:t> </w:t>
            </w:r>
          </w:p>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*Ms. Heiden is retiring as of, and is not standing for re-election at, the 2026 Annual Meeting.</w:t>
            </w:r>
          </w:p>
        </w:tc>
        <w:tc>
          <w:tcPr>
            <w:tcW w:w="218"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2" w:type="dxa"/>
            <w:gridSpan w:val="16"/>
            <w:tcBorders>
              <w:bottom w:val="single" w:sz="8" w:space="0" w:color="000000"/>
            </w:tcBorders>
            <w:tcMar>
              <w:bottom w:w="28" w:type="dxa"/>
            </w:tcMar>
            <w:vAlign w:val="center"/>
          </w:tcPr>
          <w:p>
            <w:pPr>
              <w:pStyle w:val="TableContents"/>
              <w:bidi w:val="0"/>
              <w:spacing w:before="0" w:after="0"/>
              <w:jc w:val="left"/>
              <w:rPr/>
            </w:pPr>
            <w:r>
              <w:rPr/>
              <w:t>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8340" w:type="dxa"/>
        <w:jc w:val="left"/>
        <w:tblInd w:w="0" w:type="dxa"/>
        <w:tblLayout w:type="fixed"/>
        <w:tblCellMar>
          <w:top w:w="0" w:type="dxa"/>
          <w:left w:w="0" w:type="dxa"/>
          <w:bottom w:w="0" w:type="dxa"/>
          <w:right w:w="0" w:type="dxa"/>
        </w:tblCellMar>
      </w:tblPr>
      <w:tblGrid>
        <w:gridCol w:w="185"/>
        <w:gridCol w:w="1475"/>
        <w:gridCol w:w="170"/>
        <w:gridCol w:w="170"/>
        <w:gridCol w:w="3260"/>
        <w:gridCol w:w="170"/>
        <w:gridCol w:w="170"/>
        <w:gridCol w:w="2525"/>
        <w:gridCol w:w="215"/>
      </w:tblGrid>
      <w:tr>
        <w:trPr/>
        <w:tc>
          <w:tcPr>
            <w:tcW w:w="185" w:type="dxa"/>
            <w:tcBorders/>
            <w:shd w:fill="F2F2F2" w:val="clear"/>
            <w:vAlign w:val="center"/>
          </w:tcPr>
          <w:p>
            <w:pPr>
              <w:pStyle w:val="TableContents"/>
              <w:bidi w:val="0"/>
              <w:spacing w:before="0" w:after="0"/>
              <w:jc w:val="left"/>
              <w:rPr/>
            </w:pPr>
            <w:r>
              <w:rPr/>
              <w:t> </w:t>
            </w:r>
          </w:p>
        </w:tc>
        <w:tc>
          <w:tcPr>
            <w:tcW w:w="1475" w:type="dxa"/>
            <w:tcBorders/>
            <w:shd w:fill="F2F2F2" w:val="clear"/>
            <w:vAlign w:val="center"/>
          </w:tcPr>
          <w:p>
            <w:pPr>
              <w:pStyle w:val="TableContents"/>
              <w:bidi w:val="0"/>
              <w:spacing w:before="0" w:after="0"/>
              <w:jc w:val="left"/>
              <w:rPr/>
            </w:pPr>
            <w:r>
              <w:rPr/>
              <w:t> </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3260" w:type="dxa"/>
            <w:tcBorders/>
            <w:shd w:fill="F2F2F2" w:val="clear"/>
            <w:vAlign w:val="center"/>
          </w:tcPr>
          <w:p>
            <w:pPr>
              <w:pStyle w:val="TableContents"/>
              <w:bidi w:val="0"/>
              <w:spacing w:before="0" w:after="0"/>
              <w:jc w:val="left"/>
              <w:rPr/>
            </w:pPr>
            <w:r>
              <w:rPr/>
              <w:t> </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2525" w:type="dxa"/>
            <w:tcBorders/>
            <w:shd w:fill="F2F2F2" w:val="clear"/>
            <w:vAlign w:val="center"/>
          </w:tcPr>
          <w:p>
            <w:pPr>
              <w:pStyle w:val="TableContents"/>
              <w:bidi w:val="0"/>
              <w:spacing w:before="0" w:after="0"/>
              <w:jc w:val="left"/>
              <w:rPr/>
            </w:pPr>
            <w:r>
              <w:rPr/>
              <w:t> </w:t>
            </w:r>
          </w:p>
        </w:tc>
        <w:tc>
          <w:tcPr>
            <w:tcW w:w="215" w:type="dxa"/>
            <w:tcBorders/>
            <w:shd w:fill="F2F2F2" w:val="cle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1475" w:type="dxa"/>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FY26 Meetings – 5</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3260" w:type="dxa"/>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Audit Committee Charter at</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www.caseys.com (Investor Relations link)</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2525" w:type="dxa"/>
            <w:tcBorders/>
            <w:shd w:fill="F2F2F2" w:val="clear"/>
            <w:vAlign w:val="center"/>
          </w:tcPr>
          <w:p>
            <w:pPr>
              <w:pStyle w:val="TableContents"/>
              <w:bidi w:val="0"/>
              <w:spacing w:before="0" w:after="283"/>
              <w:jc w:val="center"/>
              <w:rPr/>
            </w:pPr>
            <w:r>
              <w:rPr>
                <w:rFonts w:ascii="Times New Roman;Times;serif" w:hAnsi="Times New Roman;Times;serif"/>
                <w:b/>
                <w:color w:val="000000"/>
                <w:sz w:val="18"/>
              </w:rPr>
              <w:t xml:space="preserve">Audit Committee Report – p. </w:t>
            </w:r>
            <w:hyperlink w:anchor="tROA">
              <w:r>
                <w:rPr>
                  <w:rStyle w:val="InternetLink"/>
                  <w:rFonts w:ascii="Times New Roman;Times;serif" w:hAnsi="Times New Roman;Times;serif"/>
                  <w:b/>
                  <w:color w:val="000080"/>
                  <w:sz w:val="18"/>
                </w:rPr>
                <w:t>64</w:t>
              </w:r>
            </w:hyperlink>
          </w:p>
        </w:tc>
        <w:tc>
          <w:tcPr>
            <w:tcW w:w="215"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47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26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52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5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6" descr=""/>
                          <pic:cNvPicPr>
                            <a:picLocks noChangeAspect="1" noChangeArrowheads="1"/>
                          </pic:cNvPicPr>
                        </pic:nvPicPr>
                        <pic:blipFill>
                          <a:blip r:embed="rId57"/>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7" w:name="ny20072699x1_def14a_107-directors_pg2"/>
        <w:bookmarkEnd w:id="5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2135"/>
        <w:gridCol w:w="300"/>
        <w:gridCol w:w="300"/>
        <w:gridCol w:w="2119"/>
        <w:gridCol w:w="300"/>
        <w:gridCol w:w="300"/>
        <w:gridCol w:w="1930"/>
        <w:gridCol w:w="300"/>
        <w:gridCol w:w="300"/>
        <w:gridCol w:w="1817"/>
        <w:gridCol w:w="219"/>
      </w:tblGrid>
      <w:tr>
        <w:trPr/>
        <w:tc>
          <w:tcPr>
            <w:tcW w:w="185" w:type="dxa"/>
            <w:tcBorders/>
            <w:shd w:fill="D9D9D9" w:val="clear"/>
            <w:vAlign w:val="center"/>
          </w:tcPr>
          <w:p>
            <w:pPr>
              <w:pStyle w:val="TableContents"/>
              <w:bidi w:val="0"/>
              <w:spacing w:before="0" w:after="0"/>
              <w:jc w:val="left"/>
              <w:rPr/>
            </w:pPr>
            <w:r>
              <w:rPr/>
              <w:t> </w:t>
            </w:r>
          </w:p>
        </w:tc>
        <w:tc>
          <w:tcPr>
            <w:tcW w:w="9801" w:type="dxa"/>
            <w:gridSpan w:val="10"/>
            <w:tcBorders/>
            <w:shd w:fill="D9D9D9" w:val="clear"/>
            <w:vAlign w:val="center"/>
          </w:tcPr>
          <w:p>
            <w:pPr>
              <w:pStyle w:val="TableContents"/>
              <w:bidi w:val="0"/>
              <w:spacing w:before="0" w:after="0"/>
              <w:jc w:val="left"/>
              <w:rPr/>
            </w:pPr>
            <w:r>
              <w:rPr/>
              <w:t> </w:t>
            </w:r>
          </w:p>
        </w:tc>
        <w:tc>
          <w:tcPr>
            <w:tcW w:w="219"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1" w:type="dxa"/>
            <w:gridSpan w:val="10"/>
            <w:tcBorders>
              <w:bottom w:val="single" w:sz="8" w:space="0" w:color="000000"/>
            </w:tcBorders>
            <w:shd w:fill="D9D9D9" w:val="clear"/>
            <w:tcMar>
              <w:bottom w:w="2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COMPENSATION AND HUMAN CAPITAL COMMITTEE </w:t>
            </w:r>
          </w:p>
        </w:tc>
        <w:tc>
          <w:tcPr>
            <w:tcW w:w="219"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7"/>
                <w:u w:val="single"/>
              </w:rPr>
            </w:pPr>
            <w:r>
              <w:rPr>
                <w:rFonts w:ascii="Times New Roman;Times;serif" w:hAnsi="Times New Roman;Times;serif"/>
                <w:b/>
                <w:color w:val="000000"/>
                <w:sz w:val="17"/>
                <w:u w:val="single"/>
              </w:rPr>
              <w:t>Committee Members</w:t>
            </w:r>
          </w:p>
          <w:p>
            <w:pPr>
              <w:pStyle w:val="TableContents"/>
              <w:bidi w:val="0"/>
              <w:spacing w:before="0" w:after="283"/>
              <w:jc w:val="center"/>
              <w:rPr>
                <w:color w:val="000000"/>
              </w:rPr>
            </w:pPr>
            <w:r>
              <w:rPr>
                <w:color w:val="000000"/>
              </w:rPr>
              <w:t> </w:t>
            </w:r>
          </w:p>
          <w:p>
            <w:pPr>
              <w:pStyle w:val="TableContents"/>
              <w:bidi w:val="0"/>
              <w:spacing w:before="0" w:after="283"/>
              <w:jc w:val="center"/>
              <w:rPr>
                <w:color w:val="000000"/>
              </w:rPr>
            </w:pPr>
            <w:r>
              <w:rPr>
                <w:color w:val="000000"/>
              </w:rPr>
              <w:t xml:space="preserve">✔ </w:t>
            </w:r>
            <w:r>
              <w:rPr>
                <w:rFonts w:ascii="Times New Roman;Times;serif" w:hAnsi="Times New Roman;Times;serif"/>
                <w:b/>
                <w:color w:val="000000"/>
                <w:sz w:val="17"/>
              </w:rPr>
              <w:t>100% Independent</w:t>
            </w:r>
          </w:p>
        </w:tc>
        <w:tc>
          <w:tcPr>
            <w:tcW w:w="30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300" w:type="dxa"/>
            <w:tcBorders>
              <w:bottom w:val="single" w:sz="8" w:space="0" w:color="000000"/>
            </w:tcBorders>
            <w:tcMar>
              <w:bottom w:w="28" w:type="dxa"/>
            </w:tcMar>
            <w:vAlign w:val="center"/>
          </w:tcPr>
          <w:p>
            <w:pPr>
              <w:pStyle w:val="TableContents"/>
              <w:bidi w:val="0"/>
              <w:spacing w:before="0" w:after="0"/>
              <w:jc w:val="left"/>
              <w:rPr/>
            </w:pPr>
            <w:r>
              <w:rPr/>
              <w:t> </w:t>
            </w:r>
          </w:p>
        </w:tc>
        <w:tc>
          <w:tcPr>
            <w:tcW w:w="2119"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5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7" descr=""/>
                          <pic:cNvPicPr>
                            <a:picLocks noChangeAspect="1" noChangeArrowheads="1"/>
                          </pic:cNvPicPr>
                        </pic:nvPicPr>
                        <pic:blipFill>
                          <a:blip r:embed="rId58"/>
                          <a:stretch>
                            <a:fillRect/>
                          </a:stretch>
                        </pic:blipFill>
                        <pic:spPr bwMode="auto">
                          <a:xfrm>
                            <a:off x="0" y="0"/>
                            <a:ext cx="523875" cy="523875"/>
                          </a:xfrm>
                          <a:prstGeom prst="rect">
                            <a:avLst/>
                          </a:prstGeom>
                        </pic:spPr>
                      </pic:pic>
                    </a:graphicData>
                  </a:graphic>
                </wp:inline>
              </w:drawing>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Gregory A. Trojan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Chair (I)</w:t>
            </w:r>
          </w:p>
        </w:tc>
        <w:tc>
          <w:tcPr>
            <w:tcW w:w="30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300" w:type="dxa"/>
            <w:tcBorders>
              <w:bottom w:val="single" w:sz="8" w:space="0" w:color="000000"/>
            </w:tcBorders>
            <w:tcMar>
              <w:bottom w:w="28" w:type="dxa"/>
            </w:tcMar>
            <w:vAlign w:val="center"/>
          </w:tcPr>
          <w:p>
            <w:pPr>
              <w:pStyle w:val="TableContents"/>
              <w:bidi w:val="0"/>
              <w:spacing w:before="0" w:after="0"/>
              <w:jc w:val="left"/>
              <w:rPr/>
            </w:pPr>
            <w:r>
              <w:rPr/>
              <w:t> </w:t>
            </w:r>
          </w:p>
        </w:tc>
        <w:tc>
          <w:tcPr>
            <w:tcW w:w="19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6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8" descr=""/>
                          <pic:cNvPicPr>
                            <a:picLocks noChangeAspect="1" noChangeArrowheads="1"/>
                          </pic:cNvPicPr>
                        </pic:nvPicPr>
                        <pic:blipFill>
                          <a:blip r:embed="rId59"/>
                          <a:stretch>
                            <a:fillRect/>
                          </a:stretch>
                        </pic:blipFill>
                        <pic:spPr bwMode="auto">
                          <a:xfrm>
                            <a:off x="0" y="0"/>
                            <a:ext cx="523875" cy="523875"/>
                          </a:xfrm>
                          <a:prstGeom prst="rect">
                            <a:avLst/>
                          </a:prstGeom>
                        </pic:spPr>
                      </pic:pic>
                    </a:graphicData>
                  </a:graphic>
                </wp:inline>
              </w:drawing>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Donald E. Frieson</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(I)</w:t>
            </w:r>
          </w:p>
        </w:tc>
        <w:tc>
          <w:tcPr>
            <w:tcW w:w="30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300" w:type="dxa"/>
            <w:tcBorders>
              <w:bottom w:val="single" w:sz="8" w:space="0" w:color="000000"/>
            </w:tcBorders>
            <w:tcMar>
              <w:bottom w:w="28" w:type="dxa"/>
            </w:tcMar>
            <w:vAlign w:val="center"/>
          </w:tcPr>
          <w:p>
            <w:pPr>
              <w:pStyle w:val="TableContents"/>
              <w:bidi w:val="0"/>
              <w:spacing w:before="0" w:after="0"/>
              <w:jc w:val="left"/>
              <w:rPr/>
            </w:pPr>
            <w:r>
              <w:rPr/>
              <w:t> </w:t>
            </w:r>
          </w:p>
        </w:tc>
        <w:tc>
          <w:tcPr>
            <w:tcW w:w="1817"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6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9" descr=""/>
                          <pic:cNvPicPr>
                            <a:picLocks noChangeAspect="1" noChangeArrowheads="1"/>
                          </pic:cNvPicPr>
                        </pic:nvPicPr>
                        <pic:blipFill>
                          <a:blip r:embed="rId60"/>
                          <a:stretch>
                            <a:fillRect/>
                          </a:stretch>
                        </pic:blipFill>
                        <pic:spPr bwMode="auto">
                          <a:xfrm>
                            <a:off x="0" y="0"/>
                            <a:ext cx="523875" cy="523875"/>
                          </a:xfrm>
                          <a:prstGeom prst="rect">
                            <a:avLst/>
                          </a:prstGeom>
                        </pic:spPr>
                      </pic:pic>
                    </a:graphicData>
                  </a:graphic>
                </wp:inline>
              </w:drawing>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Allison M. Wing</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(I)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1" w:type="dxa"/>
            <w:gridSpan w:val="10"/>
            <w:tcBorders/>
            <w:vAlign w:val="center"/>
          </w:tcPr>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The Compensation and Human Capital Committee (“C/HC Committee”) oversees our executive and director compensation program, engages in succession planning for the CEO and other executive officer positions and takes a primary role in the Board’s oversight of certain of the Company’s human resources efforts.</w:t>
            </w:r>
          </w:p>
          <w:p>
            <w:pPr>
              <w:pStyle w:val="TableContents"/>
              <w:bidi w:val="0"/>
              <w:spacing w:before="0" w:after="283"/>
              <w:ind w:left="35" w:right="0" w:hanging="0"/>
              <w:jc w:val="left"/>
              <w:rPr>
                <w:color w:val="000000"/>
              </w:rPr>
            </w:pPr>
            <w:r>
              <w:rPr>
                <w:color w:val="000000"/>
              </w:rPr>
              <w:t xml:space="preserve">  </w:t>
            </w:r>
          </w:p>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The C/HC Committee annually reviews the performance of the CEO and makes recommendations to the Board concerning the compensation of the CEO and determines the compensation of the Company’s other executive officers. Its determinations and deliberations of the CEO’s compensation are done in executive session, without the presence of management, including the CEO. The CEO makes recommendations regarding the compensation of the other executive officers, and participates in such deliberations, but shall not vote to approve any compensation for such executive officers. The C/HC Committee also administers the 2025 Stock Incentive Plan and may authorize awards of stock options, restricted stock units, performance-based restricted stock units, restricted stock and other awards to the executive officers and other key employees under that plan. In addition, the C/HC Committee engages in succession planning for the CEO and other executive officers and makes recommendations to the Board with respect to such matters. The C/HC Committee also periodically reviews the compensation of directors. </w:t>
            </w:r>
          </w:p>
          <w:p>
            <w:pPr>
              <w:pStyle w:val="TableContents"/>
              <w:bidi w:val="0"/>
              <w:spacing w:before="0" w:after="283"/>
              <w:ind w:left="35" w:right="0" w:hanging="0"/>
              <w:jc w:val="left"/>
              <w:rPr>
                <w:color w:val="000000"/>
              </w:rPr>
            </w:pPr>
            <w:r>
              <w:rPr>
                <w:color w:val="000000"/>
              </w:rPr>
              <w:t> </w:t>
            </w:r>
          </w:p>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Under its written Charter, the C/HC Committee has authority to retain and terminate executive compensation consulting firms to advise the C/HC Committee and, from time to time, retain compensation consultants and outside counsel to assist with the C/HC Committee’s review and development of its compensation recommendations.</w:t>
            </w:r>
          </w:p>
        </w:tc>
        <w:tc>
          <w:tcPr>
            <w:tcW w:w="219"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1" w:type="dxa"/>
            <w:gridSpan w:val="10"/>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bl>
    <w:tbl>
      <w:tblPr>
        <w:tblW w:w="7245" w:type="dxa"/>
        <w:jc w:val="left"/>
        <w:tblInd w:w="0" w:type="dxa"/>
        <w:tblLayout w:type="fixed"/>
        <w:tblCellMar>
          <w:top w:w="0" w:type="dxa"/>
          <w:left w:w="0" w:type="dxa"/>
          <w:bottom w:w="0" w:type="dxa"/>
          <w:right w:w="0" w:type="dxa"/>
        </w:tblCellMar>
      </w:tblPr>
      <w:tblGrid>
        <w:gridCol w:w="185"/>
        <w:gridCol w:w="1475"/>
        <w:gridCol w:w="170"/>
        <w:gridCol w:w="170"/>
        <w:gridCol w:w="3260"/>
        <w:gridCol w:w="170"/>
        <w:gridCol w:w="170"/>
        <w:gridCol w:w="1430"/>
        <w:gridCol w:w="215"/>
      </w:tblGrid>
      <w:tr>
        <w:trPr/>
        <w:tc>
          <w:tcPr>
            <w:tcW w:w="185" w:type="dxa"/>
            <w:tcBorders/>
            <w:shd w:fill="F2F2F2" w:val="clear"/>
            <w:vAlign w:val="center"/>
          </w:tcPr>
          <w:p>
            <w:pPr>
              <w:pStyle w:val="TableContents"/>
              <w:bidi w:val="0"/>
              <w:spacing w:before="0" w:after="0"/>
              <w:jc w:val="left"/>
              <w:rPr/>
            </w:pPr>
            <w:r>
              <w:rPr/>
              <w:t> </w:t>
            </w:r>
          </w:p>
        </w:tc>
        <w:tc>
          <w:tcPr>
            <w:tcW w:w="1475" w:type="dxa"/>
            <w:tcBorders/>
            <w:shd w:fill="F2F2F2" w:val="clear"/>
            <w:vAlign w:val="center"/>
          </w:tcPr>
          <w:p>
            <w:pPr>
              <w:pStyle w:val="TableContents"/>
              <w:bidi w:val="0"/>
              <w:spacing w:before="0" w:after="0"/>
              <w:jc w:val="left"/>
              <w:rPr/>
            </w:pPr>
            <w:r>
              <w:rPr/>
              <w:t> </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3260" w:type="dxa"/>
            <w:tcBorders/>
            <w:shd w:fill="F2F2F2" w:val="clear"/>
            <w:vAlign w:val="center"/>
          </w:tcPr>
          <w:p>
            <w:pPr>
              <w:pStyle w:val="TableContents"/>
              <w:bidi w:val="0"/>
              <w:spacing w:before="0" w:after="0"/>
              <w:jc w:val="left"/>
              <w:rPr/>
            </w:pPr>
            <w:r>
              <w:rPr/>
              <w:t> </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430" w:type="dxa"/>
            <w:tcBorders/>
            <w:shd w:fill="F2F2F2" w:val="clear"/>
            <w:vAlign w:val="center"/>
          </w:tcPr>
          <w:p>
            <w:pPr>
              <w:pStyle w:val="TableContents"/>
              <w:bidi w:val="0"/>
              <w:spacing w:before="0" w:after="0"/>
              <w:jc w:val="left"/>
              <w:rPr/>
            </w:pPr>
            <w:r>
              <w:rPr/>
              <w:t> </w:t>
            </w:r>
          </w:p>
        </w:tc>
        <w:tc>
          <w:tcPr>
            <w:tcW w:w="215" w:type="dxa"/>
            <w:tcBorders/>
            <w:shd w:fill="F2F2F2" w:val="cle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1475" w:type="dxa"/>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FY26 Meetings – 5</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3260" w:type="dxa"/>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C/HC Committee Charter at</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www.caseys.com (Investor Relations link)</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430" w:type="dxa"/>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C/HC Committee </w:t>
            </w:r>
          </w:p>
          <w:p>
            <w:pPr>
              <w:pStyle w:val="TableContents"/>
              <w:bidi w:val="0"/>
              <w:spacing w:before="0" w:after="283"/>
              <w:jc w:val="center"/>
              <w:rPr/>
            </w:pPr>
            <w:r>
              <w:rPr>
                <w:rFonts w:ascii="Times New Roman;Times;serif" w:hAnsi="Times New Roman;Times;serif"/>
                <w:b/>
                <w:color w:val="000000"/>
                <w:sz w:val="18"/>
              </w:rPr>
              <w:t xml:space="preserve">Report – p. </w:t>
            </w:r>
            <w:hyperlink w:anchor="tCCR">
              <w:r>
                <w:rPr>
                  <w:rStyle w:val="InternetLink"/>
                  <w:rFonts w:ascii="Times New Roman;Times;serif" w:hAnsi="Times New Roman;Times;serif"/>
                  <w:b/>
                  <w:color w:val="000080"/>
                  <w:sz w:val="18"/>
                </w:rPr>
                <w:t>43</w:t>
              </w:r>
            </w:hyperlink>
          </w:p>
        </w:tc>
        <w:tc>
          <w:tcPr>
            <w:tcW w:w="215"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47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26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bl>
    <w:tbl>
      <w:tblPr>
        <w:tblW w:w="7335" w:type="dxa"/>
        <w:jc w:val="left"/>
        <w:tblInd w:w="0" w:type="dxa"/>
        <w:tblLayout w:type="fixed"/>
        <w:tblCellMar>
          <w:top w:w="0" w:type="dxa"/>
          <w:left w:w="0" w:type="dxa"/>
          <w:bottom w:w="0" w:type="dxa"/>
          <w:right w:w="0" w:type="dxa"/>
        </w:tblCellMar>
      </w:tblPr>
      <w:tblGrid>
        <w:gridCol w:w="185"/>
        <w:gridCol w:w="1610"/>
        <w:gridCol w:w="170"/>
        <w:gridCol w:w="170"/>
        <w:gridCol w:w="1610"/>
        <w:gridCol w:w="170"/>
        <w:gridCol w:w="170"/>
        <w:gridCol w:w="1295"/>
        <w:gridCol w:w="170"/>
        <w:gridCol w:w="170"/>
        <w:gridCol w:w="1400"/>
        <w:gridCol w:w="215"/>
      </w:tblGrid>
      <w:tr>
        <w:trPr/>
        <w:tc>
          <w:tcPr>
            <w:tcW w:w="185" w:type="dxa"/>
            <w:tcBorders/>
            <w:shd w:fill="D9D9D9" w:val="clear"/>
            <w:vAlign w:val="center"/>
          </w:tcPr>
          <w:p>
            <w:pPr>
              <w:pStyle w:val="TableContents"/>
              <w:bidi w:val="0"/>
              <w:spacing w:before="0" w:after="0"/>
              <w:jc w:val="left"/>
              <w:rPr/>
            </w:pPr>
            <w:r>
              <w:rPr/>
              <w:t> </w:t>
            </w:r>
          </w:p>
        </w:tc>
        <w:tc>
          <w:tcPr>
            <w:tcW w:w="6935" w:type="dxa"/>
            <w:gridSpan w:val="10"/>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6935" w:type="dxa"/>
            <w:gridSpan w:val="10"/>
            <w:tcBorders>
              <w:bottom w:val="single" w:sz="8" w:space="0" w:color="000000"/>
            </w:tcBorders>
            <w:shd w:fill="D9D9D9" w:val="clear"/>
            <w:tcMar>
              <w:bottom w:w="2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NOMINATING AND CORPORATE GOVERNANCE COMMITTEE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b/>
                <w:color w:val="000000"/>
                <w:sz w:val="17"/>
                <w:u w:val="single"/>
              </w:rPr>
            </w:pPr>
            <w:r>
              <w:rPr>
                <w:rFonts w:ascii="Times New Roman;Times;serif" w:hAnsi="Times New Roman;Times;serif"/>
                <w:b/>
                <w:color w:val="000000"/>
                <w:sz w:val="17"/>
                <w:u w:val="single"/>
              </w:rPr>
              <w:t>Committee Members</w:t>
            </w:r>
          </w:p>
          <w:p>
            <w:pPr>
              <w:pStyle w:val="TableContents"/>
              <w:bidi w:val="0"/>
              <w:spacing w:before="0" w:after="283"/>
              <w:jc w:val="center"/>
              <w:rPr>
                <w:color w:val="000000"/>
              </w:rPr>
            </w:pPr>
            <w:r>
              <w:rPr>
                <w:color w:val="000000"/>
              </w:rPr>
              <w:t> </w:t>
            </w:r>
          </w:p>
          <w:p>
            <w:pPr>
              <w:pStyle w:val="TableContents"/>
              <w:bidi w:val="0"/>
              <w:spacing w:before="0" w:after="283"/>
              <w:jc w:val="center"/>
              <w:rPr>
                <w:color w:val="000000"/>
              </w:rPr>
            </w:pPr>
            <w:r>
              <w:rPr>
                <w:color w:val="000000"/>
              </w:rPr>
              <w:t xml:space="preserve">✔ </w:t>
            </w:r>
            <w:r>
              <w:rPr>
                <w:rFonts w:ascii="Times New Roman;Times;serif" w:hAnsi="Times New Roman;Times;serif"/>
                <w:b/>
                <w:color w:val="000000"/>
                <w:sz w:val="17"/>
              </w:rPr>
              <w:t>100% Independent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6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0" descr=""/>
                          <pic:cNvPicPr>
                            <a:picLocks noChangeAspect="1" noChangeArrowheads="1"/>
                          </pic:cNvPicPr>
                        </pic:nvPicPr>
                        <pic:blipFill>
                          <a:blip r:embed="rId61"/>
                          <a:stretch>
                            <a:fillRect/>
                          </a:stretch>
                        </pic:blipFill>
                        <pic:spPr bwMode="auto">
                          <a:xfrm>
                            <a:off x="0" y="0"/>
                            <a:ext cx="523875" cy="523875"/>
                          </a:xfrm>
                          <a:prstGeom prst="rect">
                            <a:avLst/>
                          </a:prstGeom>
                        </pic:spPr>
                      </pic:pic>
                    </a:graphicData>
                  </a:graphic>
                </wp:inline>
              </w:drawing>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David K. Lenhardt –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Chair (I)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6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1" descr=""/>
                          <pic:cNvPicPr>
                            <a:picLocks noChangeAspect="1" noChangeArrowheads="1"/>
                          </pic:cNvPicPr>
                        </pic:nvPicPr>
                        <pic:blipFill>
                          <a:blip r:embed="rId62"/>
                          <a:stretch>
                            <a:fillRect/>
                          </a:stretch>
                        </pic:blipFill>
                        <pic:spPr bwMode="auto">
                          <a:xfrm>
                            <a:off x="0" y="0"/>
                            <a:ext cx="523875" cy="5238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Larree M. Renda</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6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2" descr=""/>
                          <pic:cNvPicPr>
                            <a:picLocks noChangeAspect="1" noChangeArrowheads="1"/>
                          </pic:cNvPicPr>
                        </pic:nvPicPr>
                        <pic:blipFill>
                          <a:blip r:embed="rId63"/>
                          <a:stretch>
                            <a:fillRect/>
                          </a:stretch>
                        </pic:blipFill>
                        <pic:spPr bwMode="auto">
                          <a:xfrm>
                            <a:off x="0" y="0"/>
                            <a:ext cx="523875" cy="523875"/>
                          </a:xfrm>
                          <a:prstGeom prst="rect">
                            <a:avLst/>
                          </a:prstGeom>
                        </pic:spPr>
                      </pic:pic>
                    </a:graphicData>
                  </a:graphic>
                </wp:inline>
              </w:drawing>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Judy A. Schmeling</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(I)</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833"/>
        <w:gridCol w:w="431"/>
        <w:gridCol w:w="431"/>
        <w:gridCol w:w="1370"/>
        <w:gridCol w:w="922"/>
        <w:gridCol w:w="679"/>
        <w:gridCol w:w="183"/>
        <w:gridCol w:w="431"/>
        <w:gridCol w:w="431"/>
        <w:gridCol w:w="477"/>
        <w:gridCol w:w="836"/>
        <w:gridCol w:w="607"/>
        <w:gridCol w:w="1075"/>
        <w:gridCol w:w="431"/>
        <w:gridCol w:w="431"/>
        <w:gridCol w:w="228"/>
        <w:gridCol w:w="224"/>
      </w:tblGrid>
      <w:tr>
        <w:trPr/>
        <w:tc>
          <w:tcPr>
            <w:tcW w:w="185" w:type="dxa"/>
            <w:tcBorders/>
            <w:vAlign w:val="center"/>
          </w:tcPr>
          <w:p>
            <w:pPr>
              <w:pStyle w:val="TableContents"/>
              <w:bidi w:val="0"/>
              <w:spacing w:before="0" w:after="0"/>
              <w:jc w:val="left"/>
              <w:rPr/>
            </w:pPr>
            <w:r>
              <w:rPr/>
              <w:t> </w:t>
            </w:r>
          </w:p>
        </w:tc>
        <w:tc>
          <w:tcPr>
            <w:tcW w:w="9796" w:type="dxa"/>
            <w:gridSpan w:val="16"/>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796" w:type="dxa"/>
            <w:gridSpan w:val="16"/>
            <w:tcBorders/>
            <w:vAlign w:val="center"/>
          </w:tcPr>
          <w:p>
            <w:pPr>
              <w:pStyle w:val="TableContents"/>
              <w:bidi w:val="0"/>
              <w:spacing w:lineRule="atLeast" w:line="190"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The NCG Committee generally reviews and makes recommendations to the Board regarding its composition and structure, establishes criteria for Board membership and evaluates policies relating to the recruitment of Board members, recommends to the Board the corporate governance policies or guidelines, leads the Board in a periodic review of the Board’s performance, provides Board-level oversight of the Company’s sustainability efforts and reporting, and performs other duties set forth in its written Charter.</w:t>
            </w:r>
          </w:p>
          <w:p>
            <w:pPr>
              <w:pStyle w:val="TableContents"/>
              <w:bidi w:val="0"/>
              <w:spacing w:before="0" w:after="283"/>
              <w:ind w:left="35" w:right="0" w:hanging="0"/>
              <w:jc w:val="left"/>
              <w:rPr>
                <w:color w:val="000000"/>
              </w:rPr>
            </w:pPr>
            <w:r>
              <w:rPr>
                <w:color w:val="000000"/>
              </w:rPr>
              <w:t> </w:t>
            </w:r>
          </w:p>
          <w:p>
            <w:pPr>
              <w:pStyle w:val="TableContents"/>
              <w:bidi w:val="0"/>
              <w:spacing w:lineRule="atLeast" w:line="190"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The Charter sets forth, among other things, the minimum qualifications that the NCG Committee has determined must be met by a Committee-recommended nominee, and the specific qualities or skills that the NCG Committee believes are necessary for one or more of the Company’s directors to possess. In particular, the NCG Committee Charter provides that, because the Board depends both on (i) the character, judgment, objectivity and diverse experience of its individual directors and (ii) their collective strengths, the Board should be composed of directors with the following characteristics:</w:t>
            </w:r>
          </w:p>
        </w:tc>
        <w:tc>
          <w:tcPr>
            <w:tcW w:w="224"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283"/>
              <w:ind w:left="35" w:right="0" w:hanging="0"/>
              <w:jc w:val="left"/>
              <w:rPr>
                <w:color w:val="000000"/>
              </w:rPr>
            </w:pPr>
            <w:r>
              <w:rPr>
                <w:color w:val="000000"/>
              </w:rPr>
              <w:t xml:space="preserve">  </w:t>
            </w:r>
          </w:p>
        </w:tc>
        <w:tc>
          <w:tcPr>
            <w:tcW w:w="431" w:type="dxa"/>
            <w:tcBorders/>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7011" w:type="dxa"/>
            <w:gridSpan w:val="10"/>
            <w:tcBorders>
              <w:bottom w:val="single" w:sz="8" w:space="0" w:color="000000"/>
            </w:tcBorders>
            <w:tcMar>
              <w:bottom w:w="83" w:type="dxa"/>
            </w:tcMar>
            <w:vAlign w:val="center"/>
          </w:tcPr>
          <w:p>
            <w:pPr>
              <w:pStyle w:val="TableContents"/>
              <w:bidi w:val="0"/>
              <w:spacing w:before="0" w:after="0"/>
              <w:jc w:val="left"/>
              <w:rPr>
                <w:color w:val="000000"/>
              </w:rPr>
            </w:pPr>
            <w:r>
              <w:rPr>
                <w:color w:val="000000"/>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0"/>
              <w:jc w:val="left"/>
              <w:rPr>
                <w:color w:val="000000"/>
              </w:rPr>
            </w:pPr>
            <w:r>
              <w:rPr>
                <w:color w:val="000000"/>
              </w:rPr>
              <w:t> </w:t>
            </w:r>
          </w:p>
        </w:tc>
        <w:tc>
          <w:tcPr>
            <w:tcW w:w="431" w:type="dxa"/>
            <w:tcBorders>
              <w:right w:val="single" w:sz="8" w:space="0" w:color="000000"/>
            </w:tcBorders>
            <w:tcMar>
              <w:right w:w="28" w:type="dxa"/>
            </w:tcMar>
            <w:vAlign w:val="center"/>
          </w:tcPr>
          <w:p>
            <w:pPr>
              <w:pStyle w:val="TableContents"/>
              <w:bidi w:val="0"/>
              <w:spacing w:before="0" w:after="0"/>
              <w:jc w:val="left"/>
              <w:rPr/>
            </w:pPr>
            <w:r>
              <w:rPr/>
              <w:t> </w:t>
            </w:r>
          </w:p>
        </w:tc>
        <w:tc>
          <w:tcPr>
            <w:tcW w:w="431"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7011" w:type="dxa"/>
            <w:gridSpan w:val="10"/>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Director Characteristics</w:t>
            </w:r>
          </w:p>
        </w:tc>
        <w:tc>
          <w:tcPr>
            <w:tcW w:w="431"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283"/>
              <w:ind w:left="0" w:right="0" w:hanging="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0"/>
              <w:jc w:val="left"/>
              <w:rPr>
                <w:color w:val="000000"/>
              </w:rPr>
            </w:pPr>
            <w:r>
              <w:rPr>
                <w:color w:val="000000"/>
              </w:rPr>
              <w:t> </w:t>
            </w:r>
          </w:p>
        </w:tc>
        <w:tc>
          <w:tcPr>
            <w:tcW w:w="431" w:type="dxa"/>
            <w:tcBorders>
              <w:right w:val="single" w:sz="8" w:space="0" w:color="000000"/>
            </w:tcBorders>
            <w:tcMar>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3154" w:type="dxa"/>
            <w:gridSpan w:val="4"/>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A variety of experience and backgrounds</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2995" w:type="dxa"/>
            <w:gridSpan w:val="4"/>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Independent under the applicable SEC and listing standards</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0"/>
              <w:jc w:val="left"/>
              <w:rPr>
                <w:color w:val="000000"/>
              </w:rPr>
            </w:pPr>
            <w:r>
              <w:rPr>
                <w:color w:val="000000"/>
              </w:rPr>
              <w:t> </w:t>
            </w:r>
          </w:p>
        </w:tc>
        <w:tc>
          <w:tcPr>
            <w:tcW w:w="431" w:type="dxa"/>
            <w:tcBorders>
              <w:right w:val="single" w:sz="8" w:space="0" w:color="000000"/>
            </w:tcBorders>
            <w:tcMar>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3154" w:type="dxa"/>
            <w:gridSpan w:val="4"/>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Represent the balanced, best interests of the shareholders as a whole rather than special interest groups or constituencies, while taking into consideration the overall composition/needs of the Board</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2995" w:type="dxa"/>
            <w:gridSpan w:val="4"/>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The highest character and integrity, have experience at or demonstrated understanding of strategy/policy-setting and a reputation for working constructively with others</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0"/>
              <w:jc w:val="left"/>
              <w:rPr>
                <w:color w:val="000000"/>
              </w:rPr>
            </w:pPr>
            <w:r>
              <w:rPr>
                <w:color w:val="000000"/>
              </w:rPr>
              <w:t> </w:t>
            </w:r>
          </w:p>
        </w:tc>
        <w:tc>
          <w:tcPr>
            <w:tcW w:w="431" w:type="dxa"/>
            <w:tcBorders>
              <w:right w:val="single" w:sz="8" w:space="0" w:color="000000"/>
            </w:tcBorders>
            <w:tcMar>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3154" w:type="dxa"/>
            <w:gridSpan w:val="4"/>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Free of any conflict of interest which would interfere with the proper performance of the responsibilities of a director</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2995" w:type="dxa"/>
            <w:gridSpan w:val="4"/>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Sufficient time available to devote to the affairs of the Company in order to carry out the responsibilities of a director</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0"/>
              <w:jc w:val="left"/>
              <w:rPr>
                <w:color w:val="000000"/>
              </w:rPr>
            </w:pPr>
            <w:r>
              <w:rPr>
                <w:color w:val="000000"/>
              </w:rPr>
              <w:t> </w:t>
            </w:r>
          </w:p>
        </w:tc>
        <w:tc>
          <w:tcPr>
            <w:tcW w:w="431" w:type="dxa"/>
            <w:tcBorders>
              <w:right w:val="single" w:sz="8" w:space="0" w:color="000000"/>
            </w:tcBorders>
            <w:tcMar>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7011" w:type="dxa"/>
            <w:gridSpan w:val="10"/>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High level managerial experience in a relatively complex organization or are accustomed to dealing with complex problems</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796" w:type="dxa"/>
            <w:gridSpan w:val="16"/>
            <w:tcBorders/>
            <w:vAlign w:val="center"/>
          </w:tcPr>
          <w:p>
            <w:pPr>
              <w:pStyle w:val="TableContents"/>
              <w:bidi w:val="0"/>
              <w:spacing w:before="4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The NCG Committee considers a number of factors in making nominee recommendations to the Board, including, among other things:</w:t>
            </w:r>
          </w:p>
        </w:tc>
        <w:tc>
          <w:tcPr>
            <w:tcW w:w="224"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283"/>
              <w:ind w:left="35" w:right="0" w:hanging="0"/>
              <w:jc w:val="left"/>
              <w:rPr>
                <w:color w:val="000000"/>
              </w:rPr>
            </w:pPr>
            <w:r>
              <w:rPr>
                <w:color w:val="000000"/>
              </w:rPr>
              <w:t xml:space="preserve">  </w:t>
            </w:r>
          </w:p>
        </w:tc>
        <w:tc>
          <w:tcPr>
            <w:tcW w:w="431" w:type="dxa"/>
            <w:tcBorders/>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7011" w:type="dxa"/>
            <w:gridSpan w:val="10"/>
            <w:tcBorders>
              <w:bottom w:val="single" w:sz="8" w:space="0" w:color="000000"/>
            </w:tcBorders>
            <w:tcMar>
              <w:bottom w:w="33" w:type="dxa"/>
            </w:tcMar>
            <w:vAlign w:val="center"/>
          </w:tcPr>
          <w:p>
            <w:pPr>
              <w:pStyle w:val="TableContents"/>
              <w:bidi w:val="0"/>
              <w:spacing w:before="0" w:after="0"/>
              <w:jc w:val="left"/>
              <w:rPr>
                <w:color w:val="000000"/>
              </w:rPr>
            </w:pPr>
            <w:r>
              <w:rPr>
                <w:color w:val="000000"/>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0"/>
              <w:jc w:val="left"/>
              <w:rPr>
                <w:color w:val="000000"/>
              </w:rPr>
            </w:pPr>
            <w:r>
              <w:rPr>
                <w:color w:val="000000"/>
              </w:rPr>
              <w:t> </w:t>
            </w:r>
          </w:p>
        </w:tc>
        <w:tc>
          <w:tcPr>
            <w:tcW w:w="431" w:type="dxa"/>
            <w:tcBorders>
              <w:right w:val="single" w:sz="8" w:space="0" w:color="000000"/>
            </w:tcBorders>
            <w:tcMar>
              <w:right w:w="28" w:type="dxa"/>
            </w:tcMar>
            <w:vAlign w:val="center"/>
          </w:tcPr>
          <w:p>
            <w:pPr>
              <w:pStyle w:val="TableContents"/>
              <w:bidi w:val="0"/>
              <w:spacing w:before="0" w:after="0"/>
              <w:jc w:val="left"/>
              <w:rPr/>
            </w:pPr>
            <w:r>
              <w:rPr/>
              <w:t> </w:t>
            </w:r>
          </w:p>
        </w:tc>
        <w:tc>
          <w:tcPr>
            <w:tcW w:w="431"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7011" w:type="dxa"/>
            <w:gridSpan w:val="10"/>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Other Factors of Consideration</w:t>
            </w:r>
          </w:p>
        </w:tc>
        <w:tc>
          <w:tcPr>
            <w:tcW w:w="431"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283"/>
              <w:jc w:val="center"/>
              <w:rPr>
                <w:color w:val="000000"/>
              </w:rPr>
            </w:pPr>
            <w:r>
              <w:rPr>
                <w:color w:val="000000"/>
              </w:rPr>
              <w:t> </w:t>
            </w:r>
          </w:p>
        </w:tc>
        <w:tc>
          <w:tcPr>
            <w:tcW w:w="224"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0"/>
              <w:jc w:val="left"/>
              <w:rPr>
                <w:color w:val="000000"/>
              </w:rPr>
            </w:pPr>
            <w:r>
              <w:rPr>
                <w:color w:val="000000"/>
              </w:rPr>
              <w:t> </w:t>
            </w:r>
          </w:p>
        </w:tc>
        <w:tc>
          <w:tcPr>
            <w:tcW w:w="431" w:type="dxa"/>
            <w:tcBorders>
              <w:right w:val="single" w:sz="8" w:space="0" w:color="000000"/>
            </w:tcBorders>
            <w:tcMar>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137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Employment and other professional experience, including other board experience</w:t>
            </w:r>
          </w:p>
        </w:tc>
        <w:tc>
          <w:tcPr>
            <w:tcW w:w="922"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679" w:type="dxa"/>
            <w:tcBorders>
              <w:bottom w:val="single" w:sz="8" w:space="0" w:color="000000"/>
            </w:tcBorders>
            <w:tcMar>
              <w:bottom w:w="28" w:type="dxa"/>
            </w:tcMar>
            <w:vAlign w:val="center"/>
          </w:tcPr>
          <w:p>
            <w:pPr>
              <w:pStyle w:val="TableContents"/>
              <w:bidi w:val="0"/>
              <w:spacing w:before="0" w:after="0"/>
              <w:jc w:val="left"/>
              <w:rPr/>
            </w:pPr>
            <w:r>
              <w:rPr/>
              <w:t> </w:t>
            </w:r>
          </w:p>
        </w:tc>
        <w:tc>
          <w:tcPr>
            <w:tcW w:w="1522" w:type="dxa"/>
            <w:gridSpan w:val="4"/>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Past expertise and involvement in areas which are relevant to the Company</w:t>
            </w:r>
          </w:p>
        </w:tc>
        <w:tc>
          <w:tcPr>
            <w:tcW w:w="836"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607" w:type="dxa"/>
            <w:tcBorders>
              <w:bottom w:val="single" w:sz="8" w:space="0" w:color="000000"/>
            </w:tcBorders>
            <w:tcMar>
              <w:bottom w:w="28" w:type="dxa"/>
            </w:tcMar>
            <w:vAlign w:val="center"/>
          </w:tcPr>
          <w:p>
            <w:pPr>
              <w:pStyle w:val="TableContents"/>
              <w:bidi w:val="0"/>
              <w:spacing w:before="0" w:after="0"/>
              <w:jc w:val="left"/>
              <w:rPr/>
            </w:pPr>
            <w:r>
              <w:rPr/>
              <w:t> </w:t>
            </w:r>
          </w:p>
        </w:tc>
        <w:tc>
          <w:tcPr>
            <w:tcW w:w="107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Business ethics and professional reputation</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0"/>
              <w:jc w:val="left"/>
              <w:rPr>
                <w:color w:val="000000"/>
              </w:rPr>
            </w:pPr>
            <w:r>
              <w:rPr>
                <w:color w:val="000000"/>
              </w:rPr>
              <w:t> </w:t>
            </w:r>
          </w:p>
        </w:tc>
        <w:tc>
          <w:tcPr>
            <w:tcW w:w="431" w:type="dxa"/>
            <w:tcBorders>
              <w:right w:val="single" w:sz="8" w:space="0" w:color="000000"/>
            </w:tcBorders>
            <w:tcMar>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7011" w:type="dxa"/>
            <w:gridSpan w:val="10"/>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The Company does not have a formal diversity policy for director nominees, but the NCG Committee considers diversity of viewpoint, experience, background and other qualities in its overall consideration of nominees qualified for election to the Board</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796" w:type="dxa"/>
            <w:gridSpan w:val="16"/>
            <w:tcBorders/>
            <w:vAlign w:val="center"/>
          </w:tcPr>
          <w:p>
            <w:pPr>
              <w:pStyle w:val="TableContents"/>
              <w:bidi w:val="0"/>
              <w:spacing w:before="0" w:after="283"/>
              <w:ind w:left="35" w:right="0" w:hanging="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796" w:type="dxa"/>
            <w:gridSpan w:val="16"/>
            <w:tcBorders>
              <w:bottom w:val="single" w:sz="8" w:space="0" w:color="000000"/>
            </w:tcBorders>
            <w:tcMar>
              <w:bottom w:w="28" w:type="dxa"/>
            </w:tcMar>
            <w:vAlign w:val="center"/>
          </w:tcPr>
          <w:p>
            <w:pPr>
              <w:pStyle w:val="TableContents"/>
              <w:bidi w:val="0"/>
              <w:spacing w:before="0" w:after="0"/>
              <w:jc w:val="left"/>
              <w:rPr/>
            </w:pPr>
            <w:r>
              <w:rPr/>
              <w:t> </w:t>
            </w:r>
          </w:p>
        </w:tc>
        <w:tc>
          <w:tcPr>
            <w:tcW w:w="224"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6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3" descr=""/>
                          <pic:cNvPicPr>
                            <a:picLocks noChangeAspect="1" noChangeArrowheads="1"/>
                          </pic:cNvPicPr>
                        </pic:nvPicPr>
                        <pic:blipFill>
                          <a:blip r:embed="rId64"/>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8" w:name="ny20072699x1_def14a_107-directors_pg3"/>
        <w:bookmarkEnd w:id="5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831"/>
        <w:gridCol w:w="431"/>
        <w:gridCol w:w="431"/>
        <w:gridCol w:w="1661"/>
        <w:gridCol w:w="621"/>
        <w:gridCol w:w="431"/>
        <w:gridCol w:w="1747"/>
        <w:gridCol w:w="431"/>
        <w:gridCol w:w="431"/>
        <w:gridCol w:w="1695"/>
        <w:gridCol w:w="431"/>
        <w:gridCol w:w="431"/>
        <w:gridCol w:w="228"/>
        <w:gridCol w:w="220"/>
      </w:tblGrid>
      <w:tr>
        <w:trPr/>
        <w:tc>
          <w:tcPr>
            <w:tcW w:w="185" w:type="dxa"/>
            <w:tcBorders/>
            <w:vAlign w:val="center"/>
          </w:tcPr>
          <w:p>
            <w:pPr>
              <w:pStyle w:val="TableContents"/>
              <w:bidi w:val="0"/>
              <w:spacing w:before="0" w:after="0"/>
              <w:jc w:val="left"/>
              <w:rPr/>
            </w:pPr>
            <w:r>
              <w:rPr/>
              <w:t> </w:t>
            </w:r>
          </w:p>
        </w:tc>
        <w:tc>
          <w:tcPr>
            <w:tcW w:w="9800" w:type="dxa"/>
            <w:gridSpan w:val="13"/>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0" w:type="dxa"/>
            <w:gridSpan w:val="13"/>
            <w:tcBorders/>
            <w:vAlign w:val="center"/>
          </w:tcPr>
          <w:p>
            <w:pPr>
              <w:pStyle w:val="TableContents"/>
              <w:bidi w:val="0"/>
              <w:spacing w:lineRule="atLeast" w:line="190"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Although the Board evaluates a wide range of qualifications and experience, certain areas are of particular relevance to the Company, including, among other things:</w:t>
            </w:r>
          </w:p>
        </w:tc>
        <w:tc>
          <w:tcPr>
            <w:tcW w:w="2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283"/>
              <w:ind w:left="35" w:right="0" w:hanging="0"/>
              <w:jc w:val="left"/>
              <w:rPr>
                <w:color w:val="000000"/>
              </w:rPr>
            </w:pPr>
            <w:r>
              <w:rPr>
                <w:color w:val="000000"/>
              </w:rPr>
              <w:t xml:space="preserve">  </w:t>
            </w:r>
          </w:p>
        </w:tc>
        <w:tc>
          <w:tcPr>
            <w:tcW w:w="431" w:type="dxa"/>
            <w:tcBorders/>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7017" w:type="dxa"/>
            <w:gridSpan w:val="7"/>
            <w:tcBorders>
              <w:bottom w:val="single" w:sz="8" w:space="0" w:color="000000"/>
            </w:tcBorders>
            <w:tcMar>
              <w:bottom w:w="83" w:type="dxa"/>
            </w:tcMar>
            <w:vAlign w:val="center"/>
          </w:tcPr>
          <w:p>
            <w:pPr>
              <w:pStyle w:val="TableContents"/>
              <w:bidi w:val="0"/>
              <w:spacing w:before="0" w:after="0"/>
              <w:jc w:val="left"/>
              <w:rPr>
                <w:color w:val="000000"/>
              </w:rPr>
            </w:pPr>
            <w:r>
              <w:rPr>
                <w:color w:val="000000"/>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0"/>
              <w:jc w:val="left"/>
              <w:rPr>
                <w:color w:val="000000"/>
              </w:rPr>
            </w:pPr>
            <w:r>
              <w:rPr>
                <w:color w:val="000000"/>
              </w:rPr>
              <w:t> </w:t>
            </w:r>
          </w:p>
        </w:tc>
        <w:tc>
          <w:tcPr>
            <w:tcW w:w="431" w:type="dxa"/>
            <w:tcBorders>
              <w:right w:val="single" w:sz="8" w:space="0" w:color="000000"/>
            </w:tcBorders>
            <w:tcMar>
              <w:right w:w="28" w:type="dxa"/>
            </w:tcMar>
            <w:vAlign w:val="center"/>
          </w:tcPr>
          <w:p>
            <w:pPr>
              <w:pStyle w:val="TableContents"/>
              <w:bidi w:val="0"/>
              <w:spacing w:before="0" w:after="0"/>
              <w:jc w:val="left"/>
              <w:rPr/>
            </w:pPr>
            <w:r>
              <w:rPr/>
              <w:t> </w:t>
            </w:r>
          </w:p>
        </w:tc>
        <w:tc>
          <w:tcPr>
            <w:tcW w:w="431"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7017" w:type="dxa"/>
            <w:gridSpan w:val="7"/>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Skills and Qualifications</w:t>
            </w:r>
          </w:p>
        </w:tc>
        <w:tc>
          <w:tcPr>
            <w:tcW w:w="431"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283"/>
              <w:ind w:left="0" w:right="0" w:hanging="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0"/>
              <w:jc w:val="left"/>
              <w:rPr>
                <w:color w:val="000000"/>
              </w:rPr>
            </w:pPr>
            <w:r>
              <w:rPr>
                <w:color w:val="000000"/>
              </w:rPr>
              <w:t> </w:t>
            </w:r>
          </w:p>
        </w:tc>
        <w:tc>
          <w:tcPr>
            <w:tcW w:w="431" w:type="dxa"/>
            <w:tcBorders>
              <w:right w:val="single" w:sz="8" w:space="0" w:color="000000"/>
            </w:tcBorders>
            <w:tcMar>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166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Senior business operations leadership</w:t>
            </w:r>
          </w:p>
        </w:tc>
        <w:tc>
          <w:tcPr>
            <w:tcW w:w="62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1747"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Consumer products and retail</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169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Real estate, development and construction</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0"/>
              <w:jc w:val="left"/>
              <w:rPr>
                <w:color w:val="000000"/>
              </w:rPr>
            </w:pPr>
            <w:r>
              <w:rPr>
                <w:color w:val="000000"/>
              </w:rPr>
              <w:t> </w:t>
            </w:r>
          </w:p>
        </w:tc>
        <w:tc>
          <w:tcPr>
            <w:tcW w:w="431" w:type="dxa"/>
            <w:tcBorders>
              <w:right w:val="single" w:sz="8" w:space="0" w:color="000000"/>
            </w:tcBorders>
            <w:tcMar>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166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Digital marketing and e-commerce</w:t>
            </w:r>
          </w:p>
        </w:tc>
        <w:tc>
          <w:tcPr>
            <w:tcW w:w="62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1747"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Marketing and brand management</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169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Supply chain, logistics and distribution</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0"/>
              <w:jc w:val="left"/>
              <w:rPr>
                <w:color w:val="000000"/>
              </w:rPr>
            </w:pPr>
            <w:r>
              <w:rPr>
                <w:color w:val="000000"/>
              </w:rPr>
              <w:t> </w:t>
            </w:r>
          </w:p>
        </w:tc>
        <w:tc>
          <w:tcPr>
            <w:tcW w:w="431" w:type="dxa"/>
            <w:tcBorders>
              <w:right w:val="single" w:sz="8" w:space="0" w:color="000000"/>
            </w:tcBorders>
            <w:tcMar>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1661" w:type="dxa"/>
            <w:tcBorders>
              <w:bottom w:val="single" w:sz="8" w:space="0" w:color="000000"/>
            </w:tcBorders>
            <w:tcMar>
              <w:bottom w:w="58" w:type="dxa"/>
            </w:tcMar>
            <w:vAlign w:val="center"/>
          </w:tcPr>
          <w:p>
            <w:pPr>
              <w:pStyle w:val="TableContents"/>
              <w:bidi w:val="0"/>
              <w:spacing w:before="0" w:after="283"/>
              <w:ind w:left="0" w:right="0" w:hanging="0"/>
              <w:jc w:val="both"/>
              <w:rPr>
                <w:rFonts w:ascii="Times New Roman;Times;serif" w:hAnsi="Times New Roman;Times;serif"/>
                <w:color w:val="000000"/>
                <w:sz w:val="17"/>
              </w:rPr>
            </w:pPr>
            <w:r>
              <w:rPr>
                <w:rFonts w:ascii="Times New Roman;Times;serif" w:hAnsi="Times New Roman;Times;serif"/>
                <w:color w:val="000000"/>
                <w:sz w:val="17"/>
              </w:rPr>
              <w:t xml:space="preserve">Capital markets, investment banking, asset </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management and investor relations</w:t>
            </w:r>
          </w:p>
        </w:tc>
        <w:tc>
          <w:tcPr>
            <w:tcW w:w="62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1747"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Public policy and governmental affairs, </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regulatory compliance and legal</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169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Information technology and cybersecurity</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0"/>
              <w:jc w:val="left"/>
              <w:rPr>
                <w:color w:val="000000"/>
              </w:rPr>
            </w:pPr>
            <w:r>
              <w:rPr>
                <w:color w:val="000000"/>
              </w:rPr>
              <w:t> </w:t>
            </w:r>
          </w:p>
        </w:tc>
        <w:tc>
          <w:tcPr>
            <w:tcW w:w="431" w:type="dxa"/>
            <w:tcBorders>
              <w:right w:val="single" w:sz="8" w:space="0" w:color="000000"/>
            </w:tcBorders>
            <w:tcMar>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166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Mergers and acquisitions</w:t>
            </w:r>
          </w:p>
        </w:tc>
        <w:tc>
          <w:tcPr>
            <w:tcW w:w="62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1747"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Finance, accounting and financial reporting</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169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Risk management</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color w:val="000000"/>
              </w:rPr>
            </w:pPr>
            <w:r>
              <w:rPr>
                <w:color w:val="000000"/>
              </w:rPr>
              <w:t> </w:t>
            </w:r>
          </w:p>
        </w:tc>
        <w:tc>
          <w:tcPr>
            <w:tcW w:w="2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0"/>
              <w:jc w:val="left"/>
              <w:rPr>
                <w:color w:val="000000"/>
              </w:rPr>
            </w:pPr>
            <w:r>
              <w:rPr>
                <w:color w:val="000000"/>
              </w:rPr>
              <w:t> </w:t>
            </w:r>
          </w:p>
        </w:tc>
        <w:tc>
          <w:tcPr>
            <w:tcW w:w="431" w:type="dxa"/>
            <w:tcBorders>
              <w:right w:val="single" w:sz="8" w:space="0" w:color="000000"/>
            </w:tcBorders>
            <w:tcMar>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166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Public company CEO experience</w:t>
            </w:r>
          </w:p>
        </w:tc>
        <w:tc>
          <w:tcPr>
            <w:tcW w:w="62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1747"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Restaurant and food service</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431" w:type="dxa"/>
            <w:tcBorders>
              <w:bottom w:val="single" w:sz="8" w:space="0" w:color="000000"/>
            </w:tcBorders>
            <w:tcMar>
              <w:bottom w:w="28" w:type="dxa"/>
            </w:tcMar>
            <w:vAlign w:val="center"/>
          </w:tcPr>
          <w:p>
            <w:pPr>
              <w:pStyle w:val="TableContents"/>
              <w:bidi w:val="0"/>
              <w:spacing w:before="0" w:after="0"/>
              <w:jc w:val="left"/>
              <w:rPr/>
            </w:pPr>
            <w:r>
              <w:rPr/>
              <w:t> </w:t>
            </w:r>
          </w:p>
        </w:tc>
        <w:tc>
          <w:tcPr>
            <w:tcW w:w="169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Corporate strategy</w:t>
            </w:r>
          </w:p>
        </w:tc>
        <w:tc>
          <w:tcPr>
            <w:tcW w:w="431"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879" w:type="dxa"/>
            <w:gridSpan w:val="3"/>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9800" w:type="dxa"/>
            <w:gridSpan w:val="13"/>
            <w:tcBorders/>
            <w:vAlign w:val="center"/>
          </w:tcPr>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In considering individuals for nomination as directors, the NCG Committee typically solicits recommendations from the current directors and their professional networks and is authorized to, and regularly does, engage search firms to assist in the process.</w:t>
            </w:r>
          </w:p>
          <w:p>
            <w:pPr>
              <w:pStyle w:val="TableContents"/>
              <w:bidi w:val="0"/>
              <w:spacing w:before="0" w:after="283"/>
              <w:ind w:left="35" w:right="0" w:hanging="0"/>
              <w:jc w:val="left"/>
              <w:rPr>
                <w:color w:val="000000"/>
              </w:rPr>
            </w:pPr>
            <w:r>
              <w:rPr>
                <w:color w:val="000000"/>
              </w:rPr>
              <w:t xml:space="preserve">  </w:t>
            </w:r>
          </w:p>
        </w:tc>
        <w:tc>
          <w:tcPr>
            <w:tcW w:w="2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0" w:type="dxa"/>
            <w:gridSpan w:val="13"/>
            <w:tcBorders/>
            <w:vAlign w:val="center"/>
          </w:tcPr>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The NCG Committee will consider nominees recommended by shareholders if they are submitted in accordance with the Bylaws, which contain specific advance notice procedures relating to shareholder nominations of directors and other business to be brought before an annual or special meeting of shareholders other than by or at the direction of the Board.</w:t>
            </w:r>
          </w:p>
          <w:p>
            <w:pPr>
              <w:pStyle w:val="TableContents"/>
              <w:bidi w:val="0"/>
              <w:spacing w:before="0" w:after="283"/>
              <w:ind w:left="35" w:right="0" w:hanging="0"/>
              <w:jc w:val="left"/>
              <w:rPr>
                <w:color w:val="000000"/>
              </w:rPr>
            </w:pPr>
            <w:r>
              <w:rPr>
                <w:color w:val="000000"/>
              </w:rPr>
              <w:t xml:space="preserve">  </w:t>
            </w:r>
          </w:p>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Under the Bylaws, a shareholder may nominate a director candidate for election at an annual shareholders’ meeting by (i) complying with the Company’s proxy access provision, described above in the section entitled “Governance of the Company–Shareholder Rights,” and as set forth in the Bylaws, or (ii) delivering written notice to the Corporate Secretary not less than 90 days, nor more than 120 days, prior to the first anniversary date of the date of the immediately preceding annual shareholders’ meeting. For shareholder nominations to be considered at the 2026 annual meeting under method (ii) (including nominations for inclusion on a universal proxy card under Rule 14a-19 of the Exchange Act), notice must be received by the Corporate Secretary no earlier than May 5, 2027, and no later than June 4, 2027. In addition, the notice must set forth certain information concerning such shareholder and the nominee(s), including but not limited to the information required under Article III of the Bylaws, and if applicable, Rule 14a-19. The chair of the meeting may refuse to acknowledge the nomination of any person not made in compliance with the Bylaws.</w:t>
            </w:r>
          </w:p>
          <w:p>
            <w:pPr>
              <w:pStyle w:val="TableContents"/>
              <w:bidi w:val="0"/>
              <w:spacing w:before="0" w:after="283"/>
              <w:ind w:left="35" w:right="0" w:hanging="0"/>
              <w:jc w:val="left"/>
              <w:rPr>
                <w:color w:val="000000"/>
              </w:rPr>
            </w:pPr>
            <w:r>
              <w:rPr>
                <w:color w:val="000000"/>
              </w:rPr>
              <w:t xml:space="preserve">  </w:t>
            </w:r>
          </w:p>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A copy of the Bylaws may be obtained by request addressed to Scott Faber, Corporate Secretary, Casey’s General Stores, Inc., One SE Convenience Blvd., Ankeny, Iowa 50021.</w:t>
            </w:r>
          </w:p>
        </w:tc>
        <w:tc>
          <w:tcPr>
            <w:tcW w:w="2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0" w:type="dxa"/>
            <w:gridSpan w:val="13"/>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r>
    </w:tbl>
    <w:tbl>
      <w:tblPr>
        <w:tblW w:w="8625" w:type="dxa"/>
        <w:jc w:val="left"/>
        <w:tblInd w:w="0" w:type="dxa"/>
        <w:tblLayout w:type="fixed"/>
        <w:tblCellMar>
          <w:top w:w="0" w:type="dxa"/>
          <w:left w:w="0" w:type="dxa"/>
          <w:bottom w:w="0" w:type="dxa"/>
          <w:right w:w="0" w:type="dxa"/>
        </w:tblCellMar>
      </w:tblPr>
      <w:tblGrid>
        <w:gridCol w:w="185"/>
        <w:gridCol w:w="1475"/>
        <w:gridCol w:w="170"/>
        <w:gridCol w:w="170"/>
        <w:gridCol w:w="3260"/>
        <w:gridCol w:w="170"/>
        <w:gridCol w:w="170"/>
        <w:gridCol w:w="2810"/>
        <w:gridCol w:w="215"/>
      </w:tblGrid>
      <w:tr>
        <w:trPr/>
        <w:tc>
          <w:tcPr>
            <w:tcW w:w="185" w:type="dxa"/>
            <w:tcBorders/>
            <w:shd w:fill="F2F2F2" w:val="clear"/>
            <w:vAlign w:val="center"/>
          </w:tcPr>
          <w:p>
            <w:pPr>
              <w:pStyle w:val="TableContents"/>
              <w:bidi w:val="0"/>
              <w:spacing w:before="0" w:after="0"/>
              <w:jc w:val="left"/>
              <w:rPr/>
            </w:pPr>
            <w:r>
              <w:rPr/>
              <w:t> </w:t>
            </w:r>
          </w:p>
        </w:tc>
        <w:tc>
          <w:tcPr>
            <w:tcW w:w="1475" w:type="dxa"/>
            <w:tcBorders/>
            <w:shd w:fill="F2F2F2" w:val="clear"/>
            <w:vAlign w:val="center"/>
          </w:tcPr>
          <w:p>
            <w:pPr>
              <w:pStyle w:val="TableContents"/>
              <w:bidi w:val="0"/>
              <w:spacing w:before="0" w:after="0"/>
              <w:jc w:val="left"/>
              <w:rPr/>
            </w:pPr>
            <w:r>
              <w:rPr/>
              <w:t> </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3260" w:type="dxa"/>
            <w:tcBorders/>
            <w:shd w:fill="F2F2F2" w:val="clear"/>
            <w:vAlign w:val="center"/>
          </w:tcPr>
          <w:p>
            <w:pPr>
              <w:pStyle w:val="TableContents"/>
              <w:bidi w:val="0"/>
              <w:spacing w:before="0" w:after="0"/>
              <w:jc w:val="left"/>
              <w:rPr/>
            </w:pPr>
            <w:r>
              <w:rPr/>
              <w:t> </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2810" w:type="dxa"/>
            <w:tcBorders/>
            <w:shd w:fill="F2F2F2" w:val="clear"/>
            <w:vAlign w:val="center"/>
          </w:tcPr>
          <w:p>
            <w:pPr>
              <w:pStyle w:val="TableContents"/>
              <w:bidi w:val="0"/>
              <w:spacing w:before="0" w:after="0"/>
              <w:jc w:val="left"/>
              <w:rPr/>
            </w:pPr>
            <w:r>
              <w:rPr/>
              <w:t> </w:t>
            </w:r>
          </w:p>
        </w:tc>
        <w:tc>
          <w:tcPr>
            <w:tcW w:w="215" w:type="dxa"/>
            <w:tcBorders/>
            <w:shd w:fill="F2F2F2" w:val="cle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1475" w:type="dxa"/>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FY26 Meetings – 4</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3260" w:type="dxa"/>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NCG Committee Charter at</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www.caseys.com (Investor Relations link)</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2810" w:type="dxa"/>
            <w:tcBorders/>
            <w:shd w:fill="F2F2F2"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Governance of the Company – p. 17</w:t>
            </w:r>
          </w:p>
        </w:tc>
        <w:tc>
          <w:tcPr>
            <w:tcW w:w="215"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47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26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81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6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4" descr=""/>
                          <pic:cNvPicPr>
                            <a:picLocks noChangeAspect="1" noChangeArrowheads="1"/>
                          </pic:cNvPicPr>
                        </pic:nvPicPr>
                        <pic:blipFill>
                          <a:blip r:embed="rId65"/>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9" w:name="ny20072699x1_def14a_107-directors_pg4"/>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Times New Roman;Times;serif" w:hAnsi="Times New Roman;Times;serif"/>
          <w:b/>
          <w:color w:val="000000"/>
          <w:sz w:val="19"/>
        </w:rPr>
      </w:pPr>
      <w:bookmarkStart w:id="60" w:name="tBRR"/>
      <w:bookmarkEnd w:id="60"/>
      <w:r>
        <w:rPr>
          <w:rFonts w:ascii="Times New Roman;Times;serif" w:hAnsi="Times New Roman;Times;serif"/>
          <w:b/>
          <w:color w:val="000000"/>
          <w:sz w:val="19"/>
          <w:u w:val="single"/>
        </w:rPr>
        <w:t>The Board’s Role in Risk Oversight</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Risk assessment and risk management are primarily the responsibility of the CEO and the Company’s management. The Board retains oversight responsibility over the Company’s key strategic risks, information security risks, food safety risks, and regulatory compliance risks. The Board meets regularly with the Company’s senior leadership to discuss strategy and risks facing the Company and regularly receives detailed presentations and other information from the senior leadership team and other key leaders and employees on business operations, financial results and strategic issues, including the identification, assessment and management of critical risks and management’s risk mitigation strategies. In addition, the Company’s extended leadership team holds strategic planning sessions to discuss strategies, key challenges and risks and opportunities for the Company. </w:t>
      </w:r>
    </w:p>
    <w:tbl>
      <w:tblPr>
        <w:tblW w:w="1875" w:type="dxa"/>
        <w:jc w:val="left"/>
        <w:tblInd w:w="0" w:type="dxa"/>
        <w:tblLayout w:type="fixed"/>
        <w:tblCellMar>
          <w:top w:w="0" w:type="dxa"/>
          <w:left w:w="0" w:type="dxa"/>
          <w:bottom w:w="0" w:type="dxa"/>
          <w:right w:w="0" w:type="dxa"/>
        </w:tblCellMar>
      </w:tblPr>
      <w:tblGrid>
        <w:gridCol w:w="185"/>
        <w:gridCol w:w="1475"/>
        <w:gridCol w:w="215"/>
      </w:tblGrid>
      <w:tr>
        <w:trPr/>
        <w:tc>
          <w:tcPr>
            <w:tcW w:w="185" w:type="dxa"/>
            <w:tcBorders/>
            <w:shd w:fill="D9D9D9" w:val="clear"/>
            <w:vAlign w:val="center"/>
          </w:tcPr>
          <w:p>
            <w:pPr>
              <w:pStyle w:val="TableContents"/>
              <w:bidi w:val="0"/>
              <w:spacing w:before="0" w:after="0"/>
              <w:jc w:val="left"/>
              <w:rPr/>
            </w:pPr>
            <w:r>
              <w:rPr/>
              <w:t> </w:t>
            </w:r>
          </w:p>
        </w:tc>
        <w:tc>
          <w:tcPr>
            <w:tcW w:w="1475"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475" w:type="dxa"/>
            <w:tcBorders/>
            <w:shd w:fill="D9D9D9" w:val="cle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Board of Directors</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47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bl>
    <w:tbl>
      <w:tblPr>
        <w:tblW w:w="3470" w:type="dxa"/>
        <w:jc w:val="left"/>
        <w:tblInd w:w="0" w:type="dxa"/>
        <w:tblLayout w:type="fixed"/>
        <w:tblCellMar>
          <w:top w:w="0" w:type="dxa"/>
          <w:left w:w="0" w:type="dxa"/>
          <w:bottom w:w="0" w:type="dxa"/>
          <w:right w:w="0" w:type="dxa"/>
        </w:tblCellMar>
      </w:tblPr>
      <w:tblGrid>
        <w:gridCol w:w="245"/>
        <w:gridCol w:w="170"/>
        <w:gridCol w:w="170"/>
        <w:gridCol w:w="170"/>
        <w:gridCol w:w="170"/>
        <w:gridCol w:w="170"/>
        <w:gridCol w:w="230"/>
        <w:gridCol w:w="170"/>
        <w:gridCol w:w="170"/>
        <w:gridCol w:w="170"/>
        <w:gridCol w:w="170"/>
        <w:gridCol w:w="170"/>
        <w:gridCol w:w="230"/>
        <w:gridCol w:w="170"/>
        <w:gridCol w:w="170"/>
        <w:gridCol w:w="170"/>
        <w:gridCol w:w="170"/>
        <w:gridCol w:w="170"/>
        <w:gridCol w:w="215"/>
      </w:tblGrid>
      <w:tr>
        <w:trPr/>
        <w:tc>
          <w:tcPr>
            <w:tcW w:w="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center"/>
              <w:rPr>
                <w:color w:val="000000"/>
              </w:rPr>
            </w:pPr>
            <w:r>
              <w:rPr>
                <w:color w:val="000000"/>
              </w:rPr>
              <w:t>↑</w:t>
            </w:r>
          </w:p>
        </w:tc>
      </w:tr>
      <w:tr>
        <w:trPr/>
        <w:tc>
          <w:tcPr>
            <w:tcW w:w="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810" w:type="dxa"/>
        <w:jc w:val="left"/>
        <w:tblInd w:w="0" w:type="dxa"/>
        <w:tblLayout w:type="fixed"/>
        <w:tblCellMar>
          <w:top w:w="0" w:type="dxa"/>
          <w:left w:w="0" w:type="dxa"/>
          <w:bottom w:w="0" w:type="dxa"/>
          <w:right w:w="0" w:type="dxa"/>
        </w:tblCellMar>
      </w:tblPr>
      <w:tblGrid>
        <w:gridCol w:w="185"/>
        <w:gridCol w:w="350"/>
        <w:gridCol w:w="170"/>
        <w:gridCol w:w="170"/>
        <w:gridCol w:w="170"/>
        <w:gridCol w:w="170"/>
        <w:gridCol w:w="170"/>
        <w:gridCol w:w="170"/>
        <w:gridCol w:w="170"/>
        <w:gridCol w:w="170"/>
        <w:gridCol w:w="170"/>
        <w:gridCol w:w="170"/>
        <w:gridCol w:w="170"/>
        <w:gridCol w:w="170"/>
        <w:gridCol w:w="170"/>
        <w:gridCol w:w="170"/>
        <w:gridCol w:w="170"/>
        <w:gridCol w:w="170"/>
        <w:gridCol w:w="170"/>
        <w:gridCol w:w="170"/>
        <w:gridCol w:w="215"/>
      </w:tblGrid>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3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5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794"/>
        <w:gridCol w:w="170"/>
        <w:gridCol w:w="170"/>
        <w:gridCol w:w="325"/>
        <w:gridCol w:w="170"/>
        <w:gridCol w:w="170"/>
        <w:gridCol w:w="2057"/>
        <w:gridCol w:w="170"/>
        <w:gridCol w:w="170"/>
        <w:gridCol w:w="325"/>
        <w:gridCol w:w="170"/>
        <w:gridCol w:w="170"/>
        <w:gridCol w:w="1698"/>
        <w:gridCol w:w="170"/>
        <w:gridCol w:w="170"/>
        <w:gridCol w:w="325"/>
        <w:gridCol w:w="170"/>
        <w:gridCol w:w="170"/>
        <w:gridCol w:w="1237"/>
        <w:gridCol w:w="219"/>
      </w:tblGrid>
      <w:tr>
        <w:trPr/>
        <w:tc>
          <w:tcPr>
            <w:tcW w:w="185" w:type="dxa"/>
            <w:tcBorders/>
            <w:vAlign w:val="center"/>
          </w:tcPr>
          <w:p>
            <w:pPr>
              <w:pStyle w:val="TableContents"/>
              <w:bidi w:val="0"/>
              <w:spacing w:before="0" w:after="0"/>
              <w:jc w:val="left"/>
              <w:rPr/>
            </w:pPr>
            <w:r>
              <w:rPr/>
              <w:t> </w:t>
            </w:r>
          </w:p>
        </w:tc>
        <w:tc>
          <w:tcPr>
            <w:tcW w:w="1794"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57"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8"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7"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94" w:type="dxa"/>
            <w:tcBorders/>
            <w:vAlign w:val="center"/>
          </w:tcPr>
          <w:p>
            <w:pPr>
              <w:pStyle w:val="TableContents"/>
              <w:bidi w:val="0"/>
              <w:spacing w:lineRule="atLeast" w:line="190" w:before="0" w:after="283"/>
              <w:jc w:val="center"/>
              <w:rPr>
                <w:rFonts w:ascii="Times New Roman;Times;serif" w:hAnsi="Times New Roman;Times;serif"/>
                <w:b/>
                <w:color w:val="000000"/>
                <w:sz w:val="17"/>
              </w:rPr>
            </w:pPr>
            <w:r>
              <w:rPr>
                <w:rFonts w:ascii="Times New Roman;Times;serif" w:hAnsi="Times New Roman;Times;serif"/>
                <w:b/>
                <w:color w:val="000000"/>
                <w:sz w:val="17"/>
              </w:rPr>
              <w:t>Director, Ethics &amp; Compliance</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(Internal/management)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5" w:type="dxa"/>
            <w:tcBorders/>
            <w:vAlign w:val="center"/>
          </w:tcPr>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57" w:type="dxa"/>
            <w:tcBorders/>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CISO and Sr. Director of Food Safety</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(Internal/management)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5" w:type="dxa"/>
            <w:tcBorders/>
            <w:vAlign w:val="center"/>
          </w:tcPr>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8" w:type="dxa"/>
            <w:tcBorders/>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CEO/Senior Leadership Team</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(Internal/management)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5" w:type="dxa"/>
            <w:tcBorders/>
            <w:vAlign w:val="center"/>
          </w:tcPr>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7" w:type="dxa"/>
            <w:tcBorders/>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Board Committees</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(Board of Directors)</w:t>
            </w:r>
          </w:p>
        </w:tc>
        <w:tc>
          <w:tcPr>
            <w:tcW w:w="219"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794"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57"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98"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7" w:type="dxa"/>
            <w:tcBorders>
              <w:bottom w:val="single" w:sz="8" w:space="0" w:color="000000"/>
            </w:tcBorders>
            <w:tcMar>
              <w:bottom w:w="28" w:type="dxa"/>
            </w:tcMar>
            <w:vAlign w:val="center"/>
          </w:tcPr>
          <w:p>
            <w:pPr>
              <w:pStyle w:val="TableContents"/>
              <w:bidi w:val="0"/>
              <w:spacing w:before="0" w:after="0"/>
              <w:jc w:val="left"/>
              <w:rPr/>
            </w:pPr>
            <w:r>
              <w:rPr/>
              <w:t>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D9D9D9" w:val="clear"/>
            <w:vAlign w:val="center"/>
          </w:tcPr>
          <w:p>
            <w:pPr>
              <w:pStyle w:val="TableContents"/>
              <w:bidi w:val="0"/>
              <w:spacing w:before="0" w:after="0"/>
              <w:jc w:val="left"/>
              <w:rPr/>
            </w:pPr>
            <w:r>
              <w:rPr/>
              <w:t> </w:t>
            </w:r>
          </w:p>
        </w:tc>
        <w:tc>
          <w:tcPr>
            <w:tcW w:w="9805"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5"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Additional Information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lineRule="atLeast" w:line="190" w:before="0" w:after="283"/>
              <w:ind w:left="35" w:right="0" w:hanging="0"/>
              <w:jc w:val="left"/>
              <w:rPr>
                <w:rFonts w:ascii="Times New Roman;Times;serif" w:hAnsi="Times New Roman;Times;serif"/>
                <w:b/>
                <w:color w:val="000000"/>
                <w:sz w:val="17"/>
              </w:rPr>
            </w:pPr>
            <w:r>
              <w:rPr>
                <w:rFonts w:ascii="Times New Roman;Times;serif" w:hAnsi="Times New Roman;Times;serif"/>
                <w:b/>
                <w:color w:val="000000"/>
                <w:sz w:val="17"/>
              </w:rPr>
              <w:t>Management</w:t>
            </w:r>
            <w:r>
              <w:rPr>
                <w:rFonts w:ascii="Times New Roman;Times;serif" w:hAnsi="Times New Roman;Times;serif"/>
                <w:b w:val="false"/>
                <w:color w:val="000000"/>
                <w:sz w:val="17"/>
              </w:rPr>
              <w:t>: The Director, Ethics &amp; Compliance (the “DE&amp;C”), who reports to the Chief Legal Officer, monitors ongoing enterprise risks and evaluates emerging risks to the Company. As part of their risk oversight responsibilities, the DE&amp;C regularly presents to the Company’s senior leadership team, the Audit Committee and/or the Board. The Chair of the Audit Committee is invited to these presentations, regardless of the audience. Areas of focus for risk include, but are not limited to, cybersecurity, artificial intelligence, food safety, economic, supply chain, operational, financial, personnel, legal, regulatory, compliance, health and safety, environmental, political, reputational, and other emerging risks.</w:t>
            </w:r>
          </w:p>
          <w:p>
            <w:pPr>
              <w:pStyle w:val="TableContents"/>
              <w:bidi w:val="0"/>
              <w:spacing w:before="0" w:after="283"/>
              <w:ind w:left="35" w:right="0" w:hanging="0"/>
              <w:jc w:val="left"/>
              <w:rPr>
                <w:color w:val="000000"/>
              </w:rPr>
            </w:pPr>
            <w:r>
              <w:rPr>
                <w:color w:val="000000"/>
              </w:rPr>
              <w:t> </w:t>
            </w:r>
          </w:p>
          <w:p>
            <w:pPr>
              <w:pStyle w:val="TableContents"/>
              <w:bidi w:val="0"/>
              <w:spacing w:lineRule="atLeast" w:line="190" w:before="0" w:after="283"/>
              <w:ind w:left="35" w:right="0" w:hanging="0"/>
              <w:jc w:val="left"/>
              <w:rPr>
                <w:rFonts w:ascii="Times New Roman;Times;serif" w:hAnsi="Times New Roman;Times;serif"/>
                <w:b/>
                <w:color w:val="000000"/>
                <w:sz w:val="17"/>
              </w:rPr>
            </w:pPr>
            <w:r>
              <w:rPr>
                <w:rFonts w:ascii="Times New Roman;Times;serif" w:hAnsi="Times New Roman;Times;serif"/>
                <w:b/>
                <w:color w:val="000000"/>
                <w:sz w:val="17"/>
              </w:rPr>
              <w:t>Cybersecurity</w:t>
            </w:r>
            <w:r>
              <w:rPr>
                <w:rFonts w:ascii="Times New Roman;Times;serif" w:hAnsi="Times New Roman;Times;serif"/>
                <w:b w:val="false"/>
                <w:color w:val="000000"/>
                <w:sz w:val="17"/>
              </w:rPr>
              <w:t>: The Chief Information Security Officer (“CISO”), who reports to the Chief Information Officer, provides strategic leadership and direction for the Company’s information security function and leads a cybersecurity team dedicated to safeguard IT and related operations across the Company and its operations. In addition to overseeing security operations, incident management and security engineering, the CISO and security team are also responsible for certain areas of Sarbanes-Oxley (SOX) and Payment Card Industry (PCI) compliance, and the CISO, along with the VP, Deputy General Counsel, leads the Company’s cyber incident response governance team, a cross-functional group dedicated to rapid and coordinated recovery and response in the event of a material cyber incident. As part of their risk oversight responsibilities, the CISO regularly presents to the Company’s senior leadership team, the Audit Committee and/or the Board.</w:t>
            </w:r>
          </w:p>
          <w:p>
            <w:pPr>
              <w:pStyle w:val="TableContents"/>
              <w:bidi w:val="0"/>
              <w:spacing w:before="0" w:after="283"/>
              <w:ind w:left="35" w:right="0" w:hanging="0"/>
              <w:jc w:val="left"/>
              <w:rPr>
                <w:color w:val="000000"/>
              </w:rPr>
            </w:pPr>
            <w:r>
              <w:rPr>
                <w:color w:val="000000"/>
              </w:rPr>
              <w:t> </w:t>
            </w:r>
          </w:p>
          <w:p>
            <w:pPr>
              <w:pStyle w:val="TableContents"/>
              <w:bidi w:val="0"/>
              <w:spacing w:lineRule="atLeast" w:line="190" w:before="0" w:after="283"/>
              <w:ind w:left="35" w:right="0" w:hanging="0"/>
              <w:jc w:val="left"/>
              <w:rPr>
                <w:rFonts w:ascii="Times New Roman;Times;serif" w:hAnsi="Times New Roman;Times;serif"/>
                <w:b/>
                <w:color w:val="000000"/>
                <w:sz w:val="17"/>
              </w:rPr>
            </w:pPr>
            <w:r>
              <w:rPr>
                <w:rFonts w:ascii="Times New Roman;Times;serif" w:hAnsi="Times New Roman;Times;serif"/>
                <w:b/>
                <w:color w:val="000000"/>
                <w:sz w:val="17"/>
              </w:rPr>
              <w:t>Food Safety</w:t>
            </w:r>
            <w:r>
              <w:rPr>
                <w:rFonts w:ascii="Times New Roman;Times;serif" w:hAnsi="Times New Roman;Times;serif"/>
                <w:b w:val="false"/>
                <w:color w:val="000000"/>
                <w:sz w:val="17"/>
              </w:rPr>
              <w:t>: The Sr. Director of Food Safety (“DFS”), who reports to the Chief Legal Officer, leads a team responsible for enterprise food safety risks, including those related to food suppliers, our transportation, storage and handling of food and the safe preparation of prepared food items at our stores. In addition, they are involved with the development of related training for distribution and store Team Members and working with the Company’s third-party food safety audits, which occur regularly at our stores. As part of their risk oversight responsibilities, the DFS regularly presents to the Company’s senior leadership team and the Audit Committee.</w:t>
            </w:r>
          </w:p>
          <w:p>
            <w:pPr>
              <w:pStyle w:val="TableContents"/>
              <w:bidi w:val="0"/>
              <w:spacing w:before="0" w:after="283"/>
              <w:ind w:left="35" w:right="0" w:hanging="0"/>
              <w:jc w:val="left"/>
              <w:rPr>
                <w:color w:val="000000"/>
              </w:rPr>
            </w:pPr>
            <w:r>
              <w:rPr>
                <w:color w:val="000000"/>
              </w:rPr>
              <w:t> </w:t>
            </w:r>
          </w:p>
          <w:p>
            <w:pPr>
              <w:pStyle w:val="TableContents"/>
              <w:bidi w:val="0"/>
              <w:spacing w:lineRule="atLeast" w:line="190" w:before="0" w:after="283"/>
              <w:ind w:left="35" w:right="0" w:hanging="0"/>
              <w:jc w:val="left"/>
              <w:rPr>
                <w:rFonts w:ascii="Times New Roman;Times;serif" w:hAnsi="Times New Roman;Times;serif"/>
                <w:b/>
                <w:color w:val="000000"/>
                <w:sz w:val="17"/>
              </w:rPr>
            </w:pPr>
            <w:r>
              <w:rPr>
                <w:rFonts w:ascii="Times New Roman;Times;serif" w:hAnsi="Times New Roman;Times;serif"/>
                <w:b/>
                <w:color w:val="000000"/>
                <w:sz w:val="17"/>
              </w:rPr>
              <w:t>Board Committees</w:t>
            </w:r>
            <w:r>
              <w:rPr>
                <w:rFonts w:ascii="Times New Roman;Times;serif" w:hAnsi="Times New Roman;Times;serif"/>
                <w:b w:val="false"/>
                <w:color w:val="000000"/>
                <w:sz w:val="17"/>
              </w:rPr>
              <w:t>: The Board committees also provide assistance to the Board in fulfilling its oversight responsibilities in certain areas of risk, each of which has the responsibility to provide oversight and to engage management and the Board with regard to the Company’s principal operating and business risks. The Audit Committee assists the Board in fulfilling its oversight responsibilities with respect to financial reporting, internal controls, and financial risks, and in addition, takes a leading role in the oversight of cybersecurity and food safety risks. The Compensation Committee assists the Board in fulfilling its oversight responsibilities with respect to the management of risks arising from the Company’s compensation policies and practices (including an annual risk assessment thereof), the annual incentive compensation program and clawback policies, CEO and executive officer succession planning risks and certain human resources matters. The NCG Committee assists the Board in fulfilling its oversight responsibilities with respect to the management of risks associated with Board and committee membership, structure and succession, and the monitoring of corporate governance issues, including oversight of sustainability matters, and the development of recommendations to address evolving best practices in those areas. All committees report to the full Board as to each committee’s activities and matters discussed and reviewed at the committee meetings. In addition, all directors are encouraged to participate in external education courses to keep apprised of current issues, including evolving areas of risk.</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19"/>
        </w:rPr>
      </w:pPr>
      <w:bookmarkStart w:id="61" w:name="tSHC"/>
      <w:bookmarkEnd w:id="61"/>
      <w:r>
        <w:rPr>
          <w:rFonts w:ascii="Times New Roman;Times;serif" w:hAnsi="Times New Roman;Times;serif"/>
          <w:b/>
          <w:color w:val="000000"/>
          <w:sz w:val="19"/>
          <w:u w:val="single"/>
        </w:rPr>
        <w:t>Shareholder Communications</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It is the general policy of the Board that management speaks for the Company. To the extent shareholders would like to communicate with a Company representative, they may do so by contacting Sam James, Senior Vice President, Finance &amp; Investor Relations, Casey’s General Stores, Inc., One SE Convenience Blvd., Ankeny, Iowa 50021, (515) 446-6506.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Any shareholder wishing to communicate with one or more Board members should address a written communication to Darren M. Rebelez, Board Chair, or Judy A. Schmeling, Lead Independent Director, at One SE Convenience Blvd., Ankeny, Iowa 50021. Mr. Rebelez or Ms. Schmeling, as applicable, will forward such communication to all members of the Board, to the extent such communications are deemed appropriate for consideration by the Board.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6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5" descr=""/>
                          <pic:cNvPicPr>
                            <a:picLocks noChangeAspect="1" noChangeArrowheads="1"/>
                          </pic:cNvPicPr>
                        </pic:nvPicPr>
                        <pic:blipFill>
                          <a:blip r:embed="rId66"/>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2" w:name="ny20072699x1_def14a_107-directors_pg5"/>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bookmarkStart w:id="63" w:name="tIAO"/>
      <w:bookmarkEnd w:id="63"/>
      <w:r>
        <w:rPr>
          <w:rFonts w:ascii="Times New Roman;Times;serif" w:hAnsi="Times New Roman;Times;serif"/>
          <w:b/>
          <w:color w:val="000000"/>
          <w:sz w:val="24"/>
          <w:u w:val="single"/>
        </w:rPr>
        <w:t>INFORMATION ABOUT OUR EXECUTIVE OFFICERS</w:t>
      </w:r>
      <w:r>
        <w:rPr>
          <w:rFonts w:ascii="Times New Roman;Times;serif" w:hAnsi="Times New Roman;Times;serif"/>
          <w:b/>
          <w:color w:val="000000"/>
          <w:sz w:val="24"/>
        </w:rPr>
        <w:t xml:space="preserve"> </w:t>
      </w:r>
    </w:p>
    <w:p>
      <w:pPr>
        <w:pStyle w:val="TextBody"/>
        <w:bidi w:val="0"/>
        <w:spacing w:before="22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Company currently has six executive officers: </w:t>
      </w:r>
    </w:p>
    <w:tbl>
      <w:tblPr>
        <w:tblW w:w="10205" w:type="dxa"/>
        <w:jc w:val="left"/>
        <w:tblInd w:w="0" w:type="dxa"/>
        <w:tblLayout w:type="fixed"/>
        <w:tblCellMar>
          <w:top w:w="0" w:type="dxa"/>
          <w:left w:w="0" w:type="dxa"/>
          <w:bottom w:w="0" w:type="dxa"/>
          <w:right w:w="0" w:type="dxa"/>
        </w:tblCellMar>
      </w:tblPr>
      <w:tblGrid>
        <w:gridCol w:w="185"/>
        <w:gridCol w:w="855"/>
        <w:gridCol w:w="170"/>
        <w:gridCol w:w="170"/>
        <w:gridCol w:w="1232"/>
        <w:gridCol w:w="170"/>
        <w:gridCol w:w="170"/>
        <w:gridCol w:w="5114"/>
        <w:gridCol w:w="170"/>
        <w:gridCol w:w="170"/>
        <w:gridCol w:w="902"/>
        <w:gridCol w:w="170"/>
        <w:gridCol w:w="170"/>
        <w:gridCol w:w="340"/>
        <w:gridCol w:w="217"/>
      </w:tblGrid>
      <w:tr>
        <w:trPr/>
        <w:tc>
          <w:tcPr>
            <w:tcW w:w="185" w:type="dxa"/>
            <w:tcBorders/>
            <w:shd w:fill="D9D9D9" w:val="clear"/>
            <w:vAlign w:val="center"/>
          </w:tcPr>
          <w:p>
            <w:pPr>
              <w:pStyle w:val="TableContents"/>
              <w:bidi w:val="0"/>
              <w:spacing w:before="0" w:after="0"/>
              <w:jc w:val="left"/>
              <w:rPr/>
            </w:pPr>
            <w:r>
              <w:rPr/>
              <w:t> </w:t>
            </w:r>
          </w:p>
        </w:tc>
        <w:tc>
          <w:tcPr>
            <w:tcW w:w="9803" w:type="dxa"/>
            <w:gridSpan w:val="13"/>
            <w:tcBorders/>
            <w:shd w:fill="D9D9D9" w:val="clear"/>
            <w:vAlign w:val="center"/>
          </w:tcPr>
          <w:p>
            <w:pPr>
              <w:pStyle w:val="TableContents"/>
              <w:bidi w:val="0"/>
              <w:spacing w:before="0" w:after="0"/>
              <w:jc w:val="left"/>
              <w:rPr/>
            </w:pPr>
            <w:r>
              <w:rPr/>
              <w:t>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3" w:type="dxa"/>
            <w:gridSpan w:val="13"/>
            <w:tcBorders>
              <w:bottom w:val="single" w:sz="8" w:space="0" w:color="000000"/>
            </w:tcBorders>
            <w:shd w:fill="D9D9D9" w:val="clear"/>
            <w:tcMar>
              <w:bottom w:w="8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Executive Officers </w:t>
            </w:r>
          </w:p>
        </w:tc>
        <w:tc>
          <w:tcPr>
            <w:tcW w:w="217"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2427" w:type="dxa"/>
            <w:gridSpan w:val="4"/>
            <w:tcBorders>
              <w:bottom w:val="single" w:sz="8" w:space="0" w:color="000000"/>
            </w:tcBorders>
            <w:shd w:fill="F2F2F2" w:val="clear"/>
            <w:tcMar>
              <w:bottom w:w="8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Name and Current Office Held</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5114" w:type="dxa"/>
            <w:tcBorders>
              <w:bottom w:val="single" w:sz="8" w:space="0" w:color="000000"/>
            </w:tcBorders>
            <w:shd w:fill="F2F2F2" w:val="clear"/>
            <w:tcMar>
              <w:bottom w:w="8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Recent Employment History</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02" w:type="dxa"/>
            <w:tcBorders>
              <w:bottom w:val="single" w:sz="8" w:space="0" w:color="000000"/>
            </w:tcBorders>
            <w:shd w:fill="F2F2F2" w:val="clear"/>
            <w:tcMar>
              <w:bottom w:w="8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Became Executive Officer</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40" w:type="dxa"/>
            <w:tcBorders>
              <w:bottom w:val="single" w:sz="8" w:space="0" w:color="000000"/>
            </w:tcBorders>
            <w:shd w:fill="F2F2F2" w:val="clear"/>
            <w:tcMar>
              <w:bottom w:w="8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Age </w:t>
            </w:r>
          </w:p>
        </w:tc>
        <w:tc>
          <w:tcPr>
            <w:tcW w:w="217"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55" w:type="dxa"/>
            <w:tcBorders>
              <w:bottom w:val="single" w:sz="8" w:space="0" w:color="000000"/>
            </w:tcBorders>
            <w:tcMar>
              <w:bottom w:w="88" w:type="dxa"/>
            </w:tcMar>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6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6" descr=""/>
                          <pic:cNvPicPr>
                            <a:picLocks noChangeAspect="1" noChangeArrowheads="1"/>
                          </pic:cNvPicPr>
                        </pic:nvPicPr>
                        <pic:blipFill>
                          <a:blip r:embed="rId67"/>
                          <a:stretch>
                            <a:fillRect/>
                          </a:stretch>
                        </pic:blipFill>
                        <pic:spPr bwMode="auto">
                          <a:xfrm>
                            <a:off x="0" y="0"/>
                            <a:ext cx="523875" cy="523875"/>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2" w:type="dxa"/>
            <w:tcBorders>
              <w:bottom w:val="single" w:sz="8" w:space="0" w:color="000000"/>
            </w:tcBorders>
            <w:tcMar>
              <w:bottom w:w="8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Darren M. Rebelez</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President and CEO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14" w:type="dxa"/>
            <w:tcBorders>
              <w:bottom w:val="single" w:sz="8" w:space="0" w:color="000000"/>
            </w:tcBorders>
            <w:tcMar>
              <w:bottom w:w="88"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Mr. Rebelez served as President of IHOP Restaurants (a unit of Dine Brands Global, Inc.) from 2015-2019, where he developed and implemented digital strategies to connect guests via mobile platforms and online channels and grew the brand to become the largest full-service restaurant concept in the United States by unit count. He previously was employed by 7-Eleven as Executive VP and COO from 2007-2014. Mr. Rebelez is also a veteran of the United States Army.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2" w:type="dxa"/>
            <w:tcBorders>
              <w:bottom w:val="single" w:sz="8" w:space="0" w:color="000000"/>
            </w:tcBorders>
            <w:tcMar>
              <w:bottom w:w="8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2019</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40" w:type="dxa"/>
            <w:tcBorders>
              <w:bottom w:val="single" w:sz="8" w:space="0" w:color="000000"/>
            </w:tcBorders>
            <w:tcMar>
              <w:bottom w:w="8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60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55" w:type="dxa"/>
            <w:tcBorders>
              <w:bottom w:val="single" w:sz="8" w:space="0" w:color="000000"/>
            </w:tcBorders>
            <w:tcMar>
              <w:bottom w:w="88" w:type="dxa"/>
            </w:tcMar>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6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7" descr=""/>
                          <pic:cNvPicPr>
                            <a:picLocks noChangeAspect="1" noChangeArrowheads="1"/>
                          </pic:cNvPicPr>
                        </pic:nvPicPr>
                        <pic:blipFill>
                          <a:blip r:embed="rId68"/>
                          <a:stretch>
                            <a:fillRect/>
                          </a:stretch>
                        </pic:blipFill>
                        <pic:spPr bwMode="auto">
                          <a:xfrm>
                            <a:off x="0" y="0"/>
                            <a:ext cx="523875" cy="523875"/>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2" w:type="dxa"/>
            <w:tcBorders>
              <w:bottom w:val="single" w:sz="8" w:space="0" w:color="000000"/>
            </w:tcBorders>
            <w:tcMar>
              <w:bottom w:w="8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Stephen P. Bramlage, Jr.</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Chief Financial Officer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14" w:type="dxa"/>
            <w:tcBorders>
              <w:bottom w:val="single" w:sz="8" w:space="0" w:color="000000"/>
            </w:tcBorders>
            <w:tcMar>
              <w:bottom w:w="88"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Mr. Bramlage served as Executive VP and CFO at Aramark from 2015-2020, where he directed finance, M&amp;A, procurement, IT and risk management and safety. He previously was employed by Owens-Illinois, Inc. from 2006-2015, serving as Senior VP and CFO from 2012-2015.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2" w:type="dxa"/>
            <w:tcBorders>
              <w:bottom w:val="single" w:sz="8" w:space="0" w:color="000000"/>
            </w:tcBorders>
            <w:tcMar>
              <w:bottom w:w="8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2020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40" w:type="dxa"/>
            <w:tcBorders>
              <w:bottom w:val="single" w:sz="8" w:space="0" w:color="000000"/>
            </w:tcBorders>
            <w:tcMar>
              <w:bottom w:w="8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55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55" w:type="dxa"/>
            <w:tcBorders>
              <w:bottom w:val="single" w:sz="8" w:space="0" w:color="000000"/>
            </w:tcBorders>
            <w:tcMar>
              <w:bottom w:w="88" w:type="dxa"/>
            </w:tcMar>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7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8" descr=""/>
                          <pic:cNvPicPr>
                            <a:picLocks noChangeAspect="1" noChangeArrowheads="1"/>
                          </pic:cNvPicPr>
                        </pic:nvPicPr>
                        <pic:blipFill>
                          <a:blip r:embed="rId69"/>
                          <a:stretch>
                            <a:fillRect/>
                          </a:stretch>
                        </pic:blipFill>
                        <pic:spPr bwMode="auto">
                          <a:xfrm>
                            <a:off x="0" y="0"/>
                            <a:ext cx="523875" cy="523875"/>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2" w:type="dxa"/>
            <w:tcBorders>
              <w:bottom w:val="single" w:sz="8" w:space="0" w:color="000000"/>
            </w:tcBorders>
            <w:tcMar>
              <w:bottom w:w="8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Ena Williams</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Chief Operating Officer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14" w:type="dxa"/>
            <w:tcBorders>
              <w:bottom w:val="single" w:sz="8" w:space="0" w:color="000000"/>
            </w:tcBorders>
            <w:tcMar>
              <w:bottom w:w="88"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Ms. Williams served as CEO at National HME, Inc. from 2019-2020, and Senior VP and Head of International and other senior management roles at 7-Eleven, Inc., from 2008-2018, where she directed global functions, including merchandising, marketing, logistics, human resources and financial analysis, in addition to global operations, licensing and expansion.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2" w:type="dxa"/>
            <w:tcBorders>
              <w:bottom w:val="single" w:sz="8" w:space="0" w:color="000000"/>
            </w:tcBorders>
            <w:tcMar>
              <w:bottom w:w="8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2020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40" w:type="dxa"/>
            <w:tcBorders>
              <w:bottom w:val="single" w:sz="8" w:space="0" w:color="000000"/>
            </w:tcBorders>
            <w:tcMar>
              <w:bottom w:w="8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57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55" w:type="dxa"/>
            <w:tcBorders>
              <w:bottom w:val="single" w:sz="8" w:space="0" w:color="000000"/>
            </w:tcBorders>
            <w:tcMar>
              <w:bottom w:w="88" w:type="dxa"/>
            </w:tcMar>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7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9" descr=""/>
                          <pic:cNvPicPr>
                            <a:picLocks noChangeAspect="1" noChangeArrowheads="1"/>
                          </pic:cNvPicPr>
                        </pic:nvPicPr>
                        <pic:blipFill>
                          <a:blip r:embed="rId70"/>
                          <a:stretch>
                            <a:fillRect/>
                          </a:stretch>
                        </pic:blipFill>
                        <pic:spPr bwMode="auto">
                          <a:xfrm>
                            <a:off x="0" y="0"/>
                            <a:ext cx="523875" cy="523875"/>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2" w:type="dxa"/>
            <w:tcBorders>
              <w:bottom w:val="single" w:sz="8" w:space="0" w:color="000000"/>
            </w:tcBorders>
            <w:tcMar>
              <w:bottom w:w="8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Thomas P. Brennan, Jr.</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Chief Merchandising Officer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14" w:type="dxa"/>
            <w:tcBorders>
              <w:bottom w:val="single" w:sz="8" w:space="0" w:color="000000"/>
            </w:tcBorders>
            <w:tcMar>
              <w:bottom w:w="88"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Mr. Brennan served as COO at CKE Restaurants Holdings, Inc. (the parent of Carl’s Jr. and Hardee’s) from 2017-2019, where he was responsible for the operations and support of over 3,000 restaurants across the United States, and a number of VP roles at 7-Eleven, Inc. from 2012-2017. Mr. Brennan is also a veteran of the United States Army.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2" w:type="dxa"/>
            <w:tcBorders>
              <w:bottom w:val="single" w:sz="8" w:space="0" w:color="000000"/>
            </w:tcBorders>
            <w:tcMar>
              <w:bottom w:w="8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2019</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40" w:type="dxa"/>
            <w:tcBorders>
              <w:bottom w:val="single" w:sz="8" w:space="0" w:color="000000"/>
            </w:tcBorders>
            <w:tcMar>
              <w:bottom w:w="8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51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55" w:type="dxa"/>
            <w:tcBorders>
              <w:bottom w:val="single" w:sz="8" w:space="0" w:color="000000"/>
            </w:tcBorders>
            <w:tcMar>
              <w:bottom w:w="88" w:type="dxa"/>
            </w:tcMar>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7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0" descr=""/>
                          <pic:cNvPicPr>
                            <a:picLocks noChangeAspect="1" noChangeArrowheads="1"/>
                          </pic:cNvPicPr>
                        </pic:nvPicPr>
                        <pic:blipFill>
                          <a:blip r:embed="rId71"/>
                          <a:stretch>
                            <a:fillRect/>
                          </a:stretch>
                        </pic:blipFill>
                        <pic:spPr bwMode="auto">
                          <a:xfrm>
                            <a:off x="0" y="0"/>
                            <a:ext cx="523875" cy="523875"/>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2" w:type="dxa"/>
            <w:tcBorders>
              <w:bottom w:val="single" w:sz="8" w:space="0" w:color="000000"/>
            </w:tcBorders>
            <w:tcMar>
              <w:bottom w:w="8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Chad M. Frazell</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Chief Human Resources Officer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14" w:type="dxa"/>
            <w:tcBorders>
              <w:bottom w:val="single" w:sz="8" w:space="0" w:color="000000"/>
            </w:tcBorders>
            <w:tcMar>
              <w:bottom w:w="88" w:type="dxa"/>
            </w:tcM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Mr. Frazell served as Senior VP-Human Resources at Tractor Supply Co. from 2014-2020, where he was responsible for all of the organization’s Human Resources functions, including benefits, compensation, employee relations, HR compliance, HRIS, organization development and design, payroll, relocation, talent acquisition, and talent development.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2" w:type="dxa"/>
            <w:tcBorders>
              <w:bottom w:val="single" w:sz="8" w:space="0" w:color="000000"/>
            </w:tcBorders>
            <w:tcMar>
              <w:bottom w:w="8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2020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40" w:type="dxa"/>
            <w:tcBorders>
              <w:bottom w:val="single" w:sz="8" w:space="0" w:color="000000"/>
            </w:tcBorders>
            <w:tcMar>
              <w:bottom w:w="88"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54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7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1" descr=""/>
                          <pic:cNvPicPr>
                            <a:picLocks noChangeAspect="1" noChangeArrowheads="1"/>
                          </pic:cNvPicPr>
                        </pic:nvPicPr>
                        <pic:blipFill>
                          <a:blip r:embed="rId72"/>
                          <a:stretch>
                            <a:fillRect/>
                          </a:stretch>
                        </pic:blipFill>
                        <pic:spPr bwMode="auto">
                          <a:xfrm>
                            <a:off x="0" y="0"/>
                            <a:ext cx="523875" cy="523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Katrina S. Lindsey</w:t>
            </w:r>
          </w:p>
          <w:p>
            <w:pPr>
              <w:pStyle w:val="TableContents"/>
              <w:bidi w:val="0"/>
              <w:spacing w:before="0" w:after="283"/>
              <w:jc w:val="center"/>
              <w:rPr>
                <w:rFonts w:ascii="Times New Roman;Times;serif" w:hAnsi="Times New Roman;Times;serif"/>
                <w:b w:val="false"/>
                <w:color w:val="000000"/>
                <w:sz w:val="17"/>
              </w:rPr>
            </w:pPr>
            <w:r>
              <w:rPr>
                <w:rFonts w:ascii="Times New Roman;Times;serif" w:hAnsi="Times New Roman;Times;serif"/>
                <w:b w:val="false"/>
                <w:color w:val="000000"/>
                <w:sz w:val="17"/>
              </w:rPr>
              <w:t>Chief Legal Officer</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14"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Ms. Lindsey served as SVP-Deputy General Counsel, Chief Compliance Officer and Assistant Corporate Secretary at Office Depot Inc. (a subsidiary of the ODP Corporation) from 2017-2021, where she directed North American legal operations, global ethics and compliance, government relations and information governance. She previously was employed by Darden Restaurants from 2011-2017, most recently serving as SVP-Division General Counsel.</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2022</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0" w:type="dxa"/>
            <w:tcBorders/>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54</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5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2"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14"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2"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40" w:type="dxa"/>
            <w:tcBorders>
              <w:bottom w:val="single" w:sz="8" w:space="0" w:color="000000"/>
            </w:tcBorders>
            <w:tcMar>
              <w:bottom w:w="28" w:type="dxa"/>
            </w:tcMar>
            <w:vAlign w:val="center"/>
          </w:tcPr>
          <w:p>
            <w:pPr>
              <w:pStyle w:val="TableContents"/>
              <w:bidi w:val="0"/>
              <w:spacing w:before="0" w:after="0"/>
              <w:jc w:val="left"/>
              <w:rPr/>
            </w:pPr>
            <w:r>
              <w:rPr/>
              <w:t>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7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2" descr=""/>
                          <pic:cNvPicPr>
                            <a:picLocks noChangeAspect="1" noChangeArrowheads="1"/>
                          </pic:cNvPicPr>
                        </pic:nvPicPr>
                        <pic:blipFill>
                          <a:blip r:embed="rId73"/>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4" w:name="ny20072699x1_def14a_107-directors_pg6"/>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bookmarkStart w:id="65" w:name="tPRS"/>
      <w:bookmarkEnd w:id="65"/>
      <w:r>
        <w:rPr>
          <w:rFonts w:ascii="Times New Roman;Times;serif" w:hAnsi="Times New Roman;Times;serif"/>
          <w:b/>
          <w:color w:val="000000"/>
          <w:sz w:val="24"/>
          <w:u w:val="single"/>
        </w:rPr>
        <w:t>PRINCIPAL SHAREHOLDERS</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following table contains information with respect to each person, including any group, known to the Company to be the beneficial owner of more than 5% of the Common Stock as of June 29, 2026 (based on 37,004,914 shares of Common Stock outstanding as of such date). Except as otherwise indicated, the persons listed in the table have the voting and investment powers with respect to the shares indicated. </w:t>
      </w:r>
    </w:p>
    <w:tbl>
      <w:tblPr>
        <w:tblW w:w="5375" w:type="dxa"/>
        <w:jc w:val="left"/>
        <w:tblInd w:w="0" w:type="dxa"/>
        <w:tblLayout w:type="fixed"/>
        <w:tblCellMar>
          <w:top w:w="0" w:type="dxa"/>
          <w:left w:w="0" w:type="dxa"/>
          <w:bottom w:w="0" w:type="dxa"/>
          <w:right w:w="0" w:type="dxa"/>
        </w:tblCellMar>
      </w:tblPr>
      <w:tblGrid>
        <w:gridCol w:w="2900"/>
        <w:gridCol w:w="170"/>
        <w:gridCol w:w="170"/>
        <w:gridCol w:w="1085"/>
        <w:gridCol w:w="170"/>
        <w:gridCol w:w="170"/>
        <w:gridCol w:w="710"/>
      </w:tblGrid>
      <w:tr>
        <w:trPr/>
        <w:tc>
          <w:tcPr>
            <w:tcW w:w="29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2900" w:type="dxa"/>
            <w:tcBorders/>
            <w:vAlign w:val="center"/>
          </w:tcPr>
          <w:p>
            <w:pPr>
              <w:pStyle w:val="TableContents"/>
              <w:bidi w:val="0"/>
              <w:spacing w:before="0" w:after="283"/>
              <w:ind w:left="0" w:right="0" w:hanging="0"/>
              <w:jc w:val="left"/>
              <w:rPr>
                <w:rFonts w:ascii="Times New Roman;Times;serif" w:hAnsi="Times New Roman;Times;serif"/>
                <w:b/>
                <w:color w:val="000000"/>
                <w:sz w:val="16"/>
                <w:bdr w:val="single" w:sz="8" w:space="2" w:color="000000"/>
              </w:rPr>
            </w:pPr>
            <w:r>
              <w:rPr>
                <w:rFonts w:ascii="Times New Roman;Times;serif" w:hAnsi="Times New Roman;Times;serif"/>
                <w:b/>
                <w:color w:val="000000"/>
                <w:sz w:val="16"/>
                <w:bdr w:val="single" w:sz="8" w:space="2" w:color="000000"/>
              </w:rPr>
              <w:t>Name and Address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Nature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Beneficial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Ownership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Class </w:t>
            </w:r>
          </w:p>
        </w:tc>
      </w:tr>
      <w:tr>
        <w:trPr/>
        <w:tc>
          <w:tcPr>
            <w:tcW w:w="29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BlackRock, Inc.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 Hudson Yards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York, NY 10001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3,709,911</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 </w:t>
            </w:r>
          </w:p>
        </w:tc>
      </w:tr>
      <w:tr>
        <w:trPr/>
        <w:tc>
          <w:tcPr>
            <w:tcW w:w="29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r>
      <w:tr>
        <w:trPr/>
        <w:tc>
          <w:tcPr>
            <w:tcW w:w="29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Vanguard Capital Management</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 Vanguard Blvd.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Malvern, PA 19355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1,934,774</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 </w:t>
            </w:r>
          </w:p>
        </w:tc>
      </w:tr>
      <w:tr>
        <w:trPr/>
        <w:tc>
          <w:tcPr>
            <w:tcW w:w="29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r>
      <w:tr>
        <w:trPr/>
        <w:tc>
          <w:tcPr>
            <w:tcW w:w="29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Vanguard Portfolio Management</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 Vanguard Blvd.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Malvern, PA 19355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1,863,366</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r>
      <w:tr>
        <w:trPr/>
        <w:tc>
          <w:tcPr>
            <w:tcW w:w="29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Schedule 13G filed by BlackRock, Inc. (“BlackRock”) with the SEC dated April 7, 2026. Such information indicates that BlackRock and certain subsidiaries and affiliates have sole voting power over 3,537,392 shares and sole dispositive power over 3,709,911 shares.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Schedule 13G filed by Vanguard Capital Management with the SEC dated April 29, 2026. Such information indicates that Vanguard Capital Management and certain of its affiliates have sole dispositive power over 1,934,774 shares and sole voting power over 271,612 shares.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Schedule 13G filed by Vanguard Portfolio Management with the SEC dated April 29, 2026. Such information indicates that Vanguard Portfolio Management and certain of its affiliates have sole dispositive power over 1,863,366 shares and sole voting power over 5,749 shares.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7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3" descr=""/>
                          <pic:cNvPicPr>
                            <a:picLocks noChangeAspect="1" noChangeArrowheads="1"/>
                          </pic:cNvPicPr>
                        </pic:nvPicPr>
                        <pic:blipFill>
                          <a:blip r:embed="rId74"/>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6" w:name="ny20072699x1_def14a_108-ownership_pg1"/>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u w:val="single"/>
        </w:rPr>
      </w:pPr>
      <w:bookmarkStart w:id="67" w:name="tBOS"/>
      <w:bookmarkEnd w:id="67"/>
      <w:r>
        <w:rPr>
          <w:rFonts w:ascii="Times New Roman;Times;serif" w:hAnsi="Times New Roman;Times;serif"/>
          <w:b/>
          <w:color w:val="000000"/>
          <w:sz w:val="24"/>
          <w:u w:val="single"/>
        </w:rPr>
        <w:t xml:space="preserve">BENEFICIAL OWNERSHIP OF SHARES OF COMMON STOCK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u w:val="single"/>
        </w:rPr>
        <w:t>BY DIRECTORS AND EXECUTIVE OFFICERS</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following table sets forth, as of July 6, 2026 (other than with respect to the 401(k) Plan shares, which are as of April 30, 2026, as discussed in Footnote 2 below), the beneficial ownership of shares of Common Stock, the only class of capital stock outstanding, by the current directors (including the Board’s nominees for election to the Board of Directors), the executive officers named in the Summary Compensation Table, and all current directors, director-nominees, and executive officers as a group (based on 37,004,914 shares of Common Stock outstanding as of such date). Except as otherwise indicated, the shareholders listed in the table have sole voting and investment powers with respect to the shares indicated. </w:t>
      </w:r>
    </w:p>
    <w:tbl>
      <w:tblPr>
        <w:tblW w:w="10205" w:type="dxa"/>
        <w:jc w:val="left"/>
        <w:tblInd w:w="0" w:type="dxa"/>
        <w:tblLayout w:type="fixed"/>
        <w:tblCellMar>
          <w:top w:w="0" w:type="dxa"/>
          <w:left w:w="0" w:type="dxa"/>
          <w:bottom w:w="0" w:type="dxa"/>
          <w:right w:w="0" w:type="dxa"/>
        </w:tblCellMar>
      </w:tblPr>
      <w:tblGrid>
        <w:gridCol w:w="4262"/>
        <w:gridCol w:w="170"/>
        <w:gridCol w:w="170"/>
        <w:gridCol w:w="830"/>
        <w:gridCol w:w="170"/>
        <w:gridCol w:w="170"/>
        <w:gridCol w:w="1003"/>
        <w:gridCol w:w="170"/>
        <w:gridCol w:w="170"/>
        <w:gridCol w:w="692"/>
        <w:gridCol w:w="170"/>
        <w:gridCol w:w="170"/>
        <w:gridCol w:w="992"/>
        <w:gridCol w:w="170"/>
        <w:gridCol w:w="170"/>
        <w:gridCol w:w="726"/>
      </w:tblGrid>
      <w:tr>
        <w:trPr/>
        <w:tc>
          <w:tcPr>
            <w:tcW w:w="426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0"/>
              <w:jc w:val="left"/>
              <w:rPr/>
            </w:pPr>
            <w:r>
              <w:rPr/>
              <w:t> </w:t>
            </w:r>
          </w:p>
        </w:tc>
      </w:tr>
      <w:tr>
        <w:trPr/>
        <w:tc>
          <w:tcPr>
            <w:tcW w:w="4262" w:type="dxa"/>
            <w:tcBorders/>
            <w:vAlign w:val="center"/>
          </w:tcPr>
          <w:p>
            <w:pPr>
              <w:pStyle w:val="TableContents"/>
              <w:bidi w:val="0"/>
              <w:spacing w:before="0" w:after="283"/>
              <w:ind w:left="0" w:right="0" w:hanging="0"/>
              <w:jc w:val="left"/>
              <w:rPr>
                <w:rFonts w:ascii="Times New Roman;Times;serif" w:hAnsi="Times New Roman;Times;serif"/>
                <w:b/>
                <w:color w:val="000000"/>
                <w:sz w:val="16"/>
                <w:bdr w:val="single" w:sz="8" w:space="2" w:color="000000"/>
              </w:rPr>
            </w:pPr>
            <w:r>
              <w:rPr>
                <w:rFonts w:ascii="Times New Roman;Times;serif" w:hAnsi="Times New Roman;Times;serif"/>
                <w:b/>
                <w:color w:val="000000"/>
                <w:sz w:val="16"/>
                <w:bdr w:val="single" w:sz="8" w:space="2" w:color="000000"/>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Direct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Ownership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Subject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RSUs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 Within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60 Days</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401(K)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 and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Nature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Ownership</w:t>
            </w:r>
            <w:r>
              <w:rPr>
                <w:rFonts w:ascii="Times New Roman;Times;serif" w:hAnsi="Times New Roman;Times;serif"/>
                <w:b/>
                <w:color w:val="000000"/>
                <w:position w:val="5"/>
                <w:sz w:val="13"/>
                <w:sz w:val="16"/>
              </w:rPr>
              <w:t>(3)</w:t>
            </w: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Class  </w:t>
            </w:r>
          </w:p>
        </w:tc>
      </w:tr>
      <w:tr>
        <w:trPr/>
        <w:tc>
          <w:tcPr>
            <w:tcW w:w="426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Sri Donthi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1,695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326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7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2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Donald E. Frieson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3,596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326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3,922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26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Cara K. Heiden</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9,543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326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7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9,869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2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K. Lenhardt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5,054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326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5,380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26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Maria Castañón Moats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803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326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7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1,129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2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Larree M. Renda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7,489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326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7,815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26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Judy A. Schmeling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4,988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326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7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5,314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2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Spanos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4,758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326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5,084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26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Stanley J. Sutula III</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7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2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A. Trojan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2,259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326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7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2,585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26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Allison M. Wing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3,572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326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7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3,898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2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Darren M. Rebelez</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108,174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29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535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108,709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26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P. Bramlage, Jr.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35,377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29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406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35,783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2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Ena Williams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24,769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29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419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25,188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26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P. Brennan, Jr.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14,171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29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402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14,573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2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Chad M. Frazell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9,823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3" w:type="dxa"/>
            <w:tcBorders/>
            <w:vAlign w:val="center"/>
          </w:tcPr>
          <w:p>
            <w:pPr>
              <w:pStyle w:val="TableContents"/>
              <w:bidi w:val="0"/>
              <w:spacing w:before="0" w:after="283"/>
              <w:ind w:left="29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401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10,224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 w:type="dxa"/>
            <w:tcBorders/>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26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executive officers, directors and director-nominees as a group </w:t>
            </w:r>
          </w:p>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(17 persons)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242,235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3,311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2,353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247,899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283"/>
              <w:ind w:left="30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26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6" w:type="dxa"/>
            <w:tcBorders/>
            <w:shd w:fill="CCEEFF" w:val="clear"/>
            <w:vAlign w:val="center"/>
          </w:tcPr>
          <w:p>
            <w:pPr>
              <w:pStyle w:val="TableContents"/>
              <w:bidi w:val="0"/>
              <w:spacing w:before="0" w:after="0"/>
              <w:jc w:val="left"/>
              <w:rPr/>
            </w:pPr>
            <w:r>
              <w:rPr/>
              <w:t> </w:t>
            </w:r>
          </w:p>
        </w:tc>
      </w:tr>
    </w:tbl>
    <w:tbl>
      <w:tblPr>
        <w:tblW w:w="1180" w:type="dxa"/>
        <w:jc w:val="left"/>
        <w:tblInd w:w="0" w:type="dxa"/>
        <w:tblLayout w:type="fixed"/>
        <w:tblCellMar>
          <w:top w:w="0" w:type="dxa"/>
          <w:left w:w="0" w:type="dxa"/>
          <w:bottom w:w="0" w:type="dxa"/>
          <w:right w:w="0" w:type="dxa"/>
        </w:tblCellMar>
      </w:tblPr>
      <w:tblGrid>
        <w:gridCol w:w="140"/>
        <w:gridCol w:w="104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Each non-employee director, other than Mr. Sutula, holds 326 RSUs that will cliff-vest on September 2, 2026, subject to continued service as a director through the vesting date.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Consisting of shares allocated to the 401(k) Plan account of the respective individual as of April 30, 2026, over which the individual exercises voting power. Under the trust agreement creating the 401(k) Plan, the shares of Common Stock held by the Trustee are voted by the Trustee in accordance with the participants’ directions or, if no directions are received, in the same manner and proportion as the Trustee votes shares for which the Trustee does receive timely instructions.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Except as otherwise indicated, the amounts shown are the aggregate numbers of shares attributable to the individual’s direct ownership of shares, RSUs that are scheduled to vest within 60 days of July 6, 2026, and 401(k) Plan shares. </w:t>
            </w:r>
          </w:p>
        </w:tc>
      </w:tr>
    </w:tbl>
    <w:tbl>
      <w:tblPr>
        <w:tblW w:w="6775" w:type="dxa"/>
        <w:jc w:val="left"/>
        <w:tblInd w:w="0" w:type="dxa"/>
        <w:tblLayout w:type="fixed"/>
        <w:tblCellMar>
          <w:top w:w="0" w:type="dxa"/>
          <w:left w:w="0" w:type="dxa"/>
          <w:bottom w:w="0" w:type="dxa"/>
          <w:right w:w="0" w:type="dxa"/>
        </w:tblCellMar>
      </w:tblPr>
      <w:tblGrid>
        <w:gridCol w:w="260"/>
        <w:gridCol w:w="65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5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Heiden is retiring as of, and is not standing for re-election at, the 2026 Annual Meeting.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5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Sutula was elected to the Board on June 4, 2026, after the end of the Company’s 2026 fiscal year. He holds 51 RSUs that will cliff-vest on September 2, 2026.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7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4" descr=""/>
                          <pic:cNvPicPr>
                            <a:picLocks noChangeAspect="1" noChangeArrowheads="1"/>
                          </pic:cNvPicPr>
                        </pic:nvPicPr>
                        <pic:blipFill>
                          <a:blip r:embed="rId75"/>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8" w:name="ny20072699x1_def14a_109-cda_pg1"/>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bookmarkStart w:id="69" w:name="tCDA"/>
      <w:bookmarkEnd w:id="69"/>
      <w:r>
        <w:rPr>
          <w:rFonts w:ascii="Times New Roman;Times;serif" w:hAnsi="Times New Roman;Times;serif"/>
          <w:b/>
          <w:color w:val="000000"/>
          <w:sz w:val="24"/>
          <w:u w:val="single"/>
        </w:rPr>
        <w:t>COMPENSATION DISCUSSION AND ANALYSIS</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following Compensation Discussion and Analysis (“CD&amp;A”) provides a detailed overview of the Company’s compensation philosophy, objectives and programs for its named executive officers (“NEOs”) for the 2026 fiscal year: </w:t>
      </w:r>
    </w:p>
    <w:tbl>
      <w:tblPr>
        <w:tblW w:w="10205" w:type="dxa"/>
        <w:jc w:val="left"/>
        <w:tblInd w:w="0" w:type="dxa"/>
        <w:tblLayout w:type="fixed"/>
        <w:tblCellMar>
          <w:top w:w="0" w:type="dxa"/>
          <w:left w:w="0" w:type="dxa"/>
          <w:bottom w:w="0" w:type="dxa"/>
          <w:right w:w="0" w:type="dxa"/>
        </w:tblCellMar>
      </w:tblPr>
      <w:tblGrid>
        <w:gridCol w:w="185"/>
        <w:gridCol w:w="1395"/>
        <w:gridCol w:w="170"/>
        <w:gridCol w:w="170"/>
        <w:gridCol w:w="1569"/>
        <w:gridCol w:w="170"/>
        <w:gridCol w:w="170"/>
        <w:gridCol w:w="1614"/>
        <w:gridCol w:w="170"/>
        <w:gridCol w:w="170"/>
        <w:gridCol w:w="1917"/>
        <w:gridCol w:w="170"/>
        <w:gridCol w:w="170"/>
        <w:gridCol w:w="1947"/>
        <w:gridCol w:w="218"/>
      </w:tblGrid>
      <w:tr>
        <w:trPr/>
        <w:tc>
          <w:tcPr>
            <w:tcW w:w="185" w:type="dxa"/>
            <w:tcBorders/>
            <w:shd w:fill="D9D9D9" w:val="clear"/>
            <w:vAlign w:val="center"/>
          </w:tcPr>
          <w:p>
            <w:pPr>
              <w:pStyle w:val="TableContents"/>
              <w:bidi w:val="0"/>
              <w:spacing w:before="0" w:after="0"/>
              <w:jc w:val="left"/>
              <w:rPr/>
            </w:pPr>
            <w:r>
              <w:rPr/>
              <w:t> </w:t>
            </w:r>
          </w:p>
        </w:tc>
        <w:tc>
          <w:tcPr>
            <w:tcW w:w="9802" w:type="dxa"/>
            <w:gridSpan w:val="13"/>
            <w:tcBorders/>
            <w:shd w:fill="D9D9D9" w:val="clear"/>
            <w:vAlign w:val="center"/>
          </w:tcPr>
          <w:p>
            <w:pPr>
              <w:pStyle w:val="TableContents"/>
              <w:bidi w:val="0"/>
              <w:spacing w:before="0" w:after="0"/>
              <w:jc w:val="left"/>
              <w:rPr/>
            </w:pPr>
            <w:r>
              <w:rPr/>
              <w:t> </w:t>
            </w:r>
          </w:p>
        </w:tc>
        <w:tc>
          <w:tcPr>
            <w:tcW w:w="218"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2" w:type="dxa"/>
            <w:gridSpan w:val="13"/>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2026 Fiscal Year NEOs </w:t>
            </w:r>
          </w:p>
        </w:tc>
        <w:tc>
          <w:tcPr>
            <w:tcW w:w="218"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95" w:type="dxa"/>
            <w:tcBorders/>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7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5" descr=""/>
                          <pic:cNvPicPr>
                            <a:picLocks noChangeAspect="1" noChangeArrowheads="1"/>
                          </pic:cNvPicPr>
                        </pic:nvPicPr>
                        <pic:blipFill>
                          <a:blip r:embed="rId76"/>
                          <a:stretch>
                            <a:fillRect/>
                          </a:stretch>
                        </pic:blipFill>
                        <pic:spPr bwMode="auto">
                          <a:xfrm>
                            <a:off x="0" y="0"/>
                            <a:ext cx="523875" cy="523875"/>
                          </a:xfrm>
                          <a:prstGeom prst="rect">
                            <a:avLst/>
                          </a:prstGeom>
                        </pic:spPr>
                      </pic:pic>
                    </a:graphicData>
                  </a:graphic>
                </wp:inline>
              </w:drawing>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Darren M. Rebelez</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President and Chief </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Executive Officer (“CEO”)</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9" w:type="dxa"/>
            <w:tcBorders/>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7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6" descr=""/>
                          <pic:cNvPicPr>
                            <a:picLocks noChangeAspect="1" noChangeArrowheads="1"/>
                          </pic:cNvPicPr>
                        </pic:nvPicPr>
                        <pic:blipFill>
                          <a:blip r:embed="rId77"/>
                          <a:stretch>
                            <a:fillRect/>
                          </a:stretch>
                        </pic:blipFill>
                        <pic:spPr bwMode="auto">
                          <a:xfrm>
                            <a:off x="0" y="0"/>
                            <a:ext cx="523875" cy="523875"/>
                          </a:xfrm>
                          <a:prstGeom prst="rect">
                            <a:avLst/>
                          </a:prstGeom>
                        </pic:spPr>
                      </pic:pic>
                    </a:graphicData>
                  </a:graphic>
                </wp:inline>
              </w:drawing>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Stephen P. Bramlage, Jr.</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Chief Financial Officer (“CFO”)</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4" w:type="dxa"/>
            <w:tcBorders/>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7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7" descr=""/>
                          <pic:cNvPicPr>
                            <a:picLocks noChangeAspect="1" noChangeArrowheads="1"/>
                          </pic:cNvPicPr>
                        </pic:nvPicPr>
                        <pic:blipFill>
                          <a:blip r:embed="rId78"/>
                          <a:stretch>
                            <a:fillRect/>
                          </a:stretch>
                        </pic:blipFill>
                        <pic:spPr bwMode="auto">
                          <a:xfrm>
                            <a:off x="0" y="0"/>
                            <a:ext cx="523875" cy="5238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Ena Williams</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Chief Operating Officer (“COO”)</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17" w:type="dxa"/>
            <w:tcBorders/>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8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8" descr=""/>
                          <pic:cNvPicPr>
                            <a:picLocks noChangeAspect="1" noChangeArrowheads="1"/>
                          </pic:cNvPicPr>
                        </pic:nvPicPr>
                        <pic:blipFill>
                          <a:blip r:embed="rId79"/>
                          <a:stretch>
                            <a:fillRect/>
                          </a:stretch>
                        </pic:blipFill>
                        <pic:spPr bwMode="auto">
                          <a:xfrm>
                            <a:off x="0" y="0"/>
                            <a:ext cx="523875" cy="5238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Thomas P. Brennan, Jr.</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Chief Merchandising Officer (“CMO”)</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7" w:type="dxa"/>
            <w:tcBorders/>
            <w:vAlign w:val="center"/>
          </w:tcPr>
          <w:p>
            <w:pPr>
              <w:pStyle w:val="TableContents"/>
              <w:bidi w:val="0"/>
              <w:spacing w:before="0" w:after="283"/>
              <w:jc w:val="center"/>
              <w:rPr>
                <w:color w:val="000000"/>
              </w:rPr>
            </w:pPr>
            <w:r>
              <w:rPr>
                <w:color w:val="000000"/>
              </w:rPr>
              <w:drawing>
                <wp:inline distT="0" distB="0" distL="0" distR="0">
                  <wp:extent cx="523875" cy="523875"/>
                  <wp:effectExtent l="0" t="0" r="0" b="0"/>
                  <wp:docPr id="8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9" descr=""/>
                          <pic:cNvPicPr>
                            <a:picLocks noChangeAspect="1" noChangeArrowheads="1"/>
                          </pic:cNvPicPr>
                        </pic:nvPicPr>
                        <pic:blipFill>
                          <a:blip r:embed="rId80"/>
                          <a:stretch>
                            <a:fillRect/>
                          </a:stretch>
                        </pic:blipFill>
                        <pic:spPr bwMode="auto">
                          <a:xfrm>
                            <a:off x="0" y="0"/>
                            <a:ext cx="523875" cy="5238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Chad M. Frazell</w:t>
            </w:r>
          </w:p>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Chief Human Resources Officer (“CHRO”)</w:t>
            </w:r>
          </w:p>
        </w:tc>
        <w:tc>
          <w:tcPr>
            <w:tcW w:w="218"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9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69"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14"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17"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47" w:type="dxa"/>
            <w:tcBorders>
              <w:bottom w:val="single" w:sz="8" w:space="0" w:color="000000"/>
            </w:tcBorders>
            <w:tcMar>
              <w:bottom w:w="28" w:type="dxa"/>
            </w:tcMar>
            <w:vAlign w:val="center"/>
          </w:tcPr>
          <w:p>
            <w:pPr>
              <w:pStyle w:val="TableContents"/>
              <w:bidi w:val="0"/>
              <w:spacing w:before="0" w:after="0"/>
              <w:jc w:val="left"/>
              <w:rPr/>
            </w:pPr>
            <w:r>
              <w:rPr/>
              <w:t>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40" w:after="283"/>
        <w:jc w:val="center"/>
        <w:rPr>
          <w:rFonts w:ascii="Times New Roman;Times;serif" w:hAnsi="Times New Roman;Times;serif"/>
          <w:b/>
          <w:color w:val="000000"/>
          <w:sz w:val="20"/>
          <w:u w:val="single"/>
        </w:rPr>
      </w:pPr>
      <w:bookmarkStart w:id="70" w:name="tESUM"/>
      <w:bookmarkEnd w:id="70"/>
      <w:r>
        <w:rPr>
          <w:rFonts w:ascii="Times New Roman;Times;serif" w:hAnsi="Times New Roman;Times;serif"/>
          <w:b/>
          <w:color w:val="000000"/>
          <w:sz w:val="20"/>
          <w:u w:val="single"/>
        </w:rPr>
        <w:t xml:space="preserve">EXECUTIVE SUMMARY </w:t>
      </w:r>
    </w:p>
    <w:p>
      <w:pPr>
        <w:pStyle w:val="TextBody"/>
        <w:bidi w:val="0"/>
        <w:spacing w:before="26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2026 Fiscal Year Business and Financial Highlights</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Casey’s 2026 fiscal year was yet another record breaking year, delivering outstanding results to its shareholders on the final year of its recently completed three-year strategic plan, headlined by a record of $714.4 million of net income, an increase of over 30 percent from the prior fiscal year, and 4.2% inside sales growth over the prior year. The Company’s relative total shareholder return (“TSR”) over the last three fiscal years, as compared to its peer group of the S&amp;P 500, was at the 93rd percentile, with actual TSR of 249%. As described throughout the CD&amp;A, these results are reflected in the compensation earned by, and awarded to, the NEOs.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Financial and operating highlights from the 2026 fiscal year that are linked to NEO compensation include (as compared to the 2025 fiscal year and its year-end, as applicable, unless otherwise noted): </w:t>
      </w:r>
    </w:p>
    <w:tbl>
      <w:tblPr>
        <w:tblW w:w="7674" w:type="dxa"/>
        <w:jc w:val="left"/>
        <w:tblInd w:w="0" w:type="dxa"/>
        <w:tblLayout w:type="fixed"/>
        <w:tblCellMar>
          <w:top w:w="0" w:type="dxa"/>
          <w:left w:w="0" w:type="dxa"/>
          <w:bottom w:w="0" w:type="dxa"/>
          <w:right w:w="0" w:type="dxa"/>
        </w:tblCellMar>
      </w:tblPr>
      <w:tblGrid>
        <w:gridCol w:w="185"/>
        <w:gridCol w:w="1490"/>
        <w:gridCol w:w="173"/>
        <w:gridCol w:w="173"/>
        <w:gridCol w:w="1306"/>
        <w:gridCol w:w="173"/>
        <w:gridCol w:w="173"/>
        <w:gridCol w:w="1705"/>
        <w:gridCol w:w="173"/>
        <w:gridCol w:w="173"/>
        <w:gridCol w:w="1735"/>
        <w:gridCol w:w="215"/>
      </w:tblGrid>
      <w:tr>
        <w:trPr/>
        <w:tc>
          <w:tcPr>
            <w:tcW w:w="185" w:type="dxa"/>
            <w:tcBorders/>
            <w:shd w:fill="F2F2F2" w:val="clear"/>
            <w:vAlign w:val="center"/>
          </w:tcPr>
          <w:p>
            <w:pPr>
              <w:pStyle w:val="TableContents"/>
              <w:bidi w:val="0"/>
              <w:spacing w:before="0" w:after="0"/>
              <w:jc w:val="left"/>
              <w:rPr/>
            </w:pPr>
            <w:r>
              <w:rPr/>
              <w:t> </w:t>
            </w:r>
          </w:p>
        </w:tc>
        <w:tc>
          <w:tcPr>
            <w:tcW w:w="1490" w:type="dxa"/>
            <w:tcBorders/>
            <w:shd w:fill="F2F2F2" w:val="clear"/>
            <w:vAlign w:val="center"/>
          </w:tcPr>
          <w:p>
            <w:pPr>
              <w:pStyle w:val="TableContents"/>
              <w:bidi w:val="0"/>
              <w:spacing w:before="0" w:after="0"/>
              <w:jc w:val="left"/>
              <w:rPr/>
            </w:pPr>
            <w:r>
              <w:rPr/>
              <w:t> </w:t>
            </w:r>
          </w:p>
        </w:tc>
        <w:tc>
          <w:tcPr>
            <w:tcW w:w="173"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3" w:type="dxa"/>
            <w:tcBorders/>
            <w:shd w:fill="F2F2F2" w:val="clear"/>
            <w:vAlign w:val="center"/>
          </w:tcPr>
          <w:p>
            <w:pPr>
              <w:pStyle w:val="TableContents"/>
              <w:bidi w:val="0"/>
              <w:spacing w:before="0" w:after="0"/>
              <w:jc w:val="left"/>
              <w:rPr/>
            </w:pPr>
            <w:r>
              <w:rPr/>
              <w:t> </w:t>
            </w:r>
          </w:p>
        </w:tc>
        <w:tc>
          <w:tcPr>
            <w:tcW w:w="1306" w:type="dxa"/>
            <w:tcBorders/>
            <w:shd w:fill="F2F2F2" w:val="clear"/>
            <w:vAlign w:val="center"/>
          </w:tcPr>
          <w:p>
            <w:pPr>
              <w:pStyle w:val="TableContents"/>
              <w:bidi w:val="0"/>
              <w:spacing w:before="0" w:after="0"/>
              <w:jc w:val="left"/>
              <w:rPr/>
            </w:pPr>
            <w:r>
              <w:rPr/>
              <w:t> </w:t>
            </w:r>
          </w:p>
        </w:tc>
        <w:tc>
          <w:tcPr>
            <w:tcW w:w="173"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3" w:type="dxa"/>
            <w:tcBorders/>
            <w:shd w:fill="F2F2F2" w:val="clear"/>
            <w:vAlign w:val="center"/>
          </w:tcPr>
          <w:p>
            <w:pPr>
              <w:pStyle w:val="TableContents"/>
              <w:bidi w:val="0"/>
              <w:spacing w:before="0" w:after="0"/>
              <w:jc w:val="left"/>
              <w:rPr/>
            </w:pPr>
            <w:r>
              <w:rPr/>
              <w:t> </w:t>
            </w:r>
          </w:p>
        </w:tc>
        <w:tc>
          <w:tcPr>
            <w:tcW w:w="1705" w:type="dxa"/>
            <w:tcBorders/>
            <w:shd w:fill="F2F2F2" w:val="clear"/>
            <w:vAlign w:val="center"/>
          </w:tcPr>
          <w:p>
            <w:pPr>
              <w:pStyle w:val="TableContents"/>
              <w:bidi w:val="0"/>
              <w:spacing w:before="0" w:after="0"/>
              <w:jc w:val="left"/>
              <w:rPr/>
            </w:pPr>
            <w:r>
              <w:rPr/>
              <w:t> </w:t>
            </w:r>
          </w:p>
        </w:tc>
        <w:tc>
          <w:tcPr>
            <w:tcW w:w="173"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3" w:type="dxa"/>
            <w:tcBorders/>
            <w:shd w:fill="F2F2F2" w:val="clear"/>
            <w:vAlign w:val="center"/>
          </w:tcPr>
          <w:p>
            <w:pPr>
              <w:pStyle w:val="TableContents"/>
              <w:bidi w:val="0"/>
              <w:spacing w:before="0" w:after="0"/>
              <w:jc w:val="left"/>
              <w:rPr/>
            </w:pPr>
            <w:r>
              <w:rPr/>
              <w:t> </w:t>
            </w:r>
          </w:p>
        </w:tc>
        <w:tc>
          <w:tcPr>
            <w:tcW w:w="1735" w:type="dxa"/>
            <w:tcBorders/>
            <w:shd w:fill="F2F2F2" w:val="clear"/>
            <w:vAlign w:val="center"/>
          </w:tcPr>
          <w:p>
            <w:pPr>
              <w:pStyle w:val="TableContents"/>
              <w:bidi w:val="0"/>
              <w:spacing w:before="0" w:after="0"/>
              <w:jc w:val="left"/>
              <w:rPr/>
            </w:pPr>
            <w:r>
              <w:rPr/>
              <w:t> </w:t>
            </w:r>
          </w:p>
        </w:tc>
        <w:tc>
          <w:tcPr>
            <w:tcW w:w="215"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shd w:fill="F2F2F2" w:val="clear"/>
            <w:tcMar>
              <w:bottom w:w="56"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Net Income</w:t>
            </w:r>
          </w:p>
        </w:tc>
        <w:tc>
          <w:tcPr>
            <w:tcW w:w="173"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3"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306" w:type="dxa"/>
            <w:tcBorders>
              <w:bottom w:val="single" w:sz="8" w:space="0" w:color="000000"/>
            </w:tcBorders>
            <w:shd w:fill="F2F2F2" w:val="clear"/>
            <w:tcMar>
              <w:bottom w:w="56"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EBITDA*</w:t>
            </w:r>
          </w:p>
        </w:tc>
        <w:tc>
          <w:tcPr>
            <w:tcW w:w="173"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3"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05" w:type="dxa"/>
            <w:tcBorders>
              <w:bottom w:val="single" w:sz="8" w:space="0" w:color="000000"/>
            </w:tcBorders>
            <w:shd w:fill="F2F2F2" w:val="clear"/>
            <w:tcMar>
              <w:bottom w:w="56"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SSS Growth – Inside</w:t>
            </w:r>
          </w:p>
        </w:tc>
        <w:tc>
          <w:tcPr>
            <w:tcW w:w="173"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3"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35" w:type="dxa"/>
            <w:tcBorders>
              <w:bottom w:val="single" w:sz="8" w:space="0" w:color="000000"/>
            </w:tcBorders>
            <w:shd w:fill="F2F2F2" w:val="clear"/>
            <w:tcMar>
              <w:bottom w:w="56"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3-Year rTSR </w:t>
            </w:r>
          </w:p>
        </w:tc>
        <w:tc>
          <w:tcPr>
            <w:tcW w:w="21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$714.4 million</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$546.5 million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(FY25)</w:t>
            </w:r>
          </w:p>
        </w:tc>
        <w:tc>
          <w:tcPr>
            <w:tcW w:w="173"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3" w:type="dxa"/>
            <w:tcBorders>
              <w:bottom w:val="single" w:sz="8" w:space="0" w:color="000000"/>
            </w:tcBorders>
            <w:tcMar>
              <w:bottom w:w="28" w:type="dxa"/>
            </w:tcMar>
            <w:vAlign w:val="center"/>
          </w:tcPr>
          <w:p>
            <w:pPr>
              <w:pStyle w:val="TableContents"/>
              <w:bidi w:val="0"/>
              <w:spacing w:before="0" w:after="0"/>
              <w:jc w:val="left"/>
              <w:rPr/>
            </w:pPr>
            <w:r>
              <w:rPr/>
              <w:t> </w:t>
            </w:r>
          </w:p>
        </w:tc>
        <w:tc>
          <w:tcPr>
            <w:tcW w:w="1306"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$1.48 billion</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$1.2 billion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(FY25)</w:t>
            </w:r>
          </w:p>
        </w:tc>
        <w:tc>
          <w:tcPr>
            <w:tcW w:w="173"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3" w:type="dxa"/>
            <w:tcBorders>
              <w:bottom w:val="single" w:sz="8" w:space="0" w:color="000000"/>
            </w:tcBorders>
            <w:tcMar>
              <w:bottom w:w="28" w:type="dxa"/>
            </w:tcMar>
            <w:vAlign w:val="center"/>
          </w:tcPr>
          <w:p>
            <w:pPr>
              <w:pStyle w:val="TableContents"/>
              <w:bidi w:val="0"/>
              <w:spacing w:before="0" w:after="0"/>
              <w:jc w:val="left"/>
              <w:rPr/>
            </w:pPr>
            <w:r>
              <w:rPr/>
              <w:t> </w:t>
            </w:r>
          </w:p>
        </w:tc>
        <w:tc>
          <w:tcPr>
            <w:tcW w:w="170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4.2%</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2.6%</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(FY25)</w:t>
            </w:r>
          </w:p>
        </w:tc>
        <w:tc>
          <w:tcPr>
            <w:tcW w:w="173"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3" w:type="dxa"/>
            <w:tcBorders>
              <w:bottom w:val="single" w:sz="8" w:space="0" w:color="000000"/>
            </w:tcBorders>
            <w:tcMar>
              <w:bottom w:w="28" w:type="dxa"/>
            </w:tcMar>
            <w:vAlign w:val="center"/>
          </w:tcPr>
          <w:p>
            <w:pPr>
              <w:pStyle w:val="TableContents"/>
              <w:bidi w:val="0"/>
              <w:spacing w:before="0" w:after="0"/>
              <w:jc w:val="left"/>
              <w:rPr/>
            </w:pPr>
            <w:r>
              <w:rPr/>
              <w:t> </w:t>
            </w:r>
          </w:p>
        </w:tc>
        <w:tc>
          <w:tcPr>
            <w:tcW w:w="173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93</w:t>
            </w:r>
            <w:r>
              <w:rPr>
                <w:rFonts w:ascii="Times New Roman;Times;serif" w:hAnsi="Times New Roman;Times;serif"/>
                <w:b/>
                <w:color w:val="000000"/>
                <w:position w:val="8"/>
                <w:sz w:val="19"/>
                <w:sz w:val="24"/>
              </w:rPr>
              <w:t>rd</w:t>
            </w:r>
            <w:r>
              <w:rPr>
                <w:rFonts w:ascii="Times New Roman;Times;serif" w:hAnsi="Times New Roman;Times;serif"/>
                <w:b/>
                <w:color w:val="000000"/>
                <w:sz w:val="24"/>
              </w:rPr>
              <w:t xml:space="preserve"> percentile</w:t>
            </w:r>
          </w:p>
          <w:p>
            <w:pPr>
              <w:pStyle w:val="TableContents"/>
              <w:bidi w:val="0"/>
              <w:spacing w:before="0" w:after="283"/>
              <w:jc w:val="center"/>
              <w:rPr>
                <w:color w:val="000000"/>
              </w:rPr>
            </w:pPr>
            <w:r>
              <w:rPr>
                <w:color w:val="000000"/>
              </w:rPr>
              <w:t>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(against peer group of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S&amp;P 500)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30.7% increase</w:t>
            </w:r>
          </w:p>
        </w:tc>
        <w:tc>
          <w:tcPr>
            <w:tcW w:w="173"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3" w:type="dxa"/>
            <w:tcBorders>
              <w:bottom w:val="single" w:sz="8" w:space="0" w:color="000000"/>
            </w:tcBorders>
            <w:tcMar>
              <w:bottom w:w="28" w:type="dxa"/>
            </w:tcMar>
            <w:vAlign w:val="center"/>
          </w:tcPr>
          <w:p>
            <w:pPr>
              <w:pStyle w:val="TableContents"/>
              <w:bidi w:val="0"/>
              <w:spacing w:before="0" w:after="0"/>
              <w:jc w:val="left"/>
              <w:rPr/>
            </w:pPr>
            <w:r>
              <w:rPr/>
              <w:t> </w:t>
            </w:r>
          </w:p>
        </w:tc>
        <w:tc>
          <w:tcPr>
            <w:tcW w:w="1306"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23% increase</w:t>
            </w:r>
          </w:p>
        </w:tc>
        <w:tc>
          <w:tcPr>
            <w:tcW w:w="173"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3" w:type="dxa"/>
            <w:tcBorders>
              <w:bottom w:val="single" w:sz="8" w:space="0" w:color="000000"/>
            </w:tcBorders>
            <w:tcMar>
              <w:bottom w:w="28" w:type="dxa"/>
            </w:tcMar>
            <w:vAlign w:val="center"/>
          </w:tcPr>
          <w:p>
            <w:pPr>
              <w:pStyle w:val="TableContents"/>
              <w:bidi w:val="0"/>
              <w:spacing w:before="0" w:after="0"/>
              <w:jc w:val="left"/>
              <w:rPr/>
            </w:pPr>
            <w:r>
              <w:rPr/>
              <w:t> </w:t>
            </w:r>
          </w:p>
        </w:tc>
        <w:tc>
          <w:tcPr>
            <w:tcW w:w="170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62% increase</w:t>
            </w:r>
          </w:p>
        </w:tc>
        <w:tc>
          <w:tcPr>
            <w:tcW w:w="173"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3" w:type="dxa"/>
            <w:tcBorders>
              <w:bottom w:val="single" w:sz="8" w:space="0" w:color="000000"/>
            </w:tcBorders>
            <w:tcMar>
              <w:bottom w:w="28" w:type="dxa"/>
            </w:tcMar>
            <w:vAlign w:val="center"/>
          </w:tcPr>
          <w:p>
            <w:pPr>
              <w:pStyle w:val="TableContents"/>
              <w:bidi w:val="0"/>
              <w:spacing w:before="0" w:after="0"/>
              <w:jc w:val="left"/>
              <w:rPr/>
            </w:pPr>
            <w:r>
              <w:rPr/>
              <w:t> </w:t>
            </w:r>
          </w:p>
        </w:tc>
        <w:tc>
          <w:tcPr>
            <w:tcW w:w="173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Actual TSR of 249%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274" w:type="dxa"/>
            <w:gridSpan w:val="10"/>
            <w:tcBorders/>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*EBITDA is a non-GAAP financial measure. See Appendix A for reconciliations/calculations for the applicable periods.</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274" w:type="dxa"/>
            <w:gridSpan w:val="10"/>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Highlighting the significant long-term value created by the Company during the three-year performance period covering the Company’s Long-Term Incentive Program ending at fiscal 2026 year-end (discussed in detail below), the following are the exceptional results delivered to our shareholders (as compared to the 2023 fiscal year-end): </w:t>
      </w:r>
    </w:p>
    <w:tbl>
      <w:tblPr>
        <w:tblW w:w="9990" w:type="dxa"/>
        <w:jc w:val="left"/>
        <w:tblInd w:w="0" w:type="dxa"/>
        <w:tblLayout w:type="fixed"/>
        <w:tblCellMar>
          <w:top w:w="0" w:type="dxa"/>
          <w:left w:w="0" w:type="dxa"/>
          <w:bottom w:w="0" w:type="dxa"/>
          <w:right w:w="0" w:type="dxa"/>
        </w:tblCellMar>
      </w:tblPr>
      <w:tblGrid>
        <w:gridCol w:w="185"/>
        <w:gridCol w:w="1670"/>
        <w:gridCol w:w="170"/>
        <w:gridCol w:w="170"/>
        <w:gridCol w:w="1280"/>
        <w:gridCol w:w="170"/>
        <w:gridCol w:w="170"/>
        <w:gridCol w:w="1205"/>
        <w:gridCol w:w="170"/>
        <w:gridCol w:w="170"/>
        <w:gridCol w:w="1190"/>
        <w:gridCol w:w="170"/>
        <w:gridCol w:w="170"/>
        <w:gridCol w:w="1205"/>
        <w:gridCol w:w="170"/>
        <w:gridCol w:w="170"/>
        <w:gridCol w:w="1340"/>
        <w:gridCol w:w="215"/>
      </w:tblGrid>
      <w:tr>
        <w:trPr/>
        <w:tc>
          <w:tcPr>
            <w:tcW w:w="185" w:type="dxa"/>
            <w:tcBorders/>
            <w:shd w:fill="F2F2F2" w:val="clear"/>
            <w:vAlign w:val="center"/>
          </w:tcPr>
          <w:p>
            <w:pPr>
              <w:pStyle w:val="TableContents"/>
              <w:bidi w:val="0"/>
              <w:spacing w:before="0" w:after="0"/>
              <w:jc w:val="left"/>
              <w:rPr/>
            </w:pPr>
            <w:r>
              <w:rPr/>
              <w:t> </w:t>
            </w:r>
          </w:p>
        </w:tc>
        <w:tc>
          <w:tcPr>
            <w:tcW w:w="1670" w:type="dxa"/>
            <w:tcBorders/>
            <w:shd w:fill="F2F2F2" w:val="clear"/>
            <w:vAlign w:val="center"/>
          </w:tcPr>
          <w:p>
            <w:pPr>
              <w:pStyle w:val="TableContents"/>
              <w:bidi w:val="0"/>
              <w:spacing w:before="0" w:after="0"/>
              <w:jc w:val="left"/>
              <w:rPr/>
            </w:pPr>
            <w:r>
              <w:rPr/>
              <w:t> </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280" w:type="dxa"/>
            <w:tcBorders/>
            <w:shd w:fill="F2F2F2" w:val="clear"/>
            <w:vAlign w:val="center"/>
          </w:tcPr>
          <w:p>
            <w:pPr>
              <w:pStyle w:val="TableContents"/>
              <w:bidi w:val="0"/>
              <w:spacing w:before="0" w:after="0"/>
              <w:jc w:val="left"/>
              <w:rPr/>
            </w:pPr>
            <w:r>
              <w:rPr/>
              <w:t> </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205" w:type="dxa"/>
            <w:tcBorders/>
            <w:shd w:fill="F2F2F2" w:val="clear"/>
            <w:vAlign w:val="center"/>
          </w:tcPr>
          <w:p>
            <w:pPr>
              <w:pStyle w:val="TableContents"/>
              <w:bidi w:val="0"/>
              <w:spacing w:before="0" w:after="0"/>
              <w:jc w:val="left"/>
              <w:rPr/>
            </w:pPr>
            <w:r>
              <w:rPr/>
              <w:t> </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190" w:type="dxa"/>
            <w:tcBorders/>
            <w:shd w:fill="F2F2F2" w:val="clear"/>
            <w:vAlign w:val="center"/>
          </w:tcPr>
          <w:p>
            <w:pPr>
              <w:pStyle w:val="TableContents"/>
              <w:bidi w:val="0"/>
              <w:spacing w:before="0" w:after="0"/>
              <w:jc w:val="left"/>
              <w:rPr/>
            </w:pPr>
            <w:r>
              <w:rPr/>
              <w:t> </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205" w:type="dxa"/>
            <w:tcBorders/>
            <w:shd w:fill="F2F2F2" w:val="clear"/>
            <w:vAlign w:val="center"/>
          </w:tcPr>
          <w:p>
            <w:pPr>
              <w:pStyle w:val="TableContents"/>
              <w:bidi w:val="0"/>
              <w:spacing w:before="0" w:after="0"/>
              <w:jc w:val="left"/>
              <w:rPr/>
            </w:pPr>
            <w:r>
              <w:rPr/>
              <w:t> </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F2F2F2" w:val="clear"/>
            <w:vAlign w:val="center"/>
          </w:tcPr>
          <w:p>
            <w:pPr>
              <w:pStyle w:val="TableContents"/>
              <w:bidi w:val="0"/>
              <w:spacing w:before="0" w:after="0"/>
              <w:jc w:val="left"/>
              <w:rPr/>
            </w:pPr>
            <w:r>
              <w:rPr/>
              <w:t> </w:t>
            </w:r>
          </w:p>
        </w:tc>
        <w:tc>
          <w:tcPr>
            <w:tcW w:w="1340" w:type="dxa"/>
            <w:tcBorders/>
            <w:shd w:fill="F2F2F2" w:val="clear"/>
            <w:vAlign w:val="center"/>
          </w:tcPr>
          <w:p>
            <w:pPr>
              <w:pStyle w:val="TableContents"/>
              <w:bidi w:val="0"/>
              <w:spacing w:before="0" w:after="0"/>
              <w:jc w:val="left"/>
              <w:rPr/>
            </w:pPr>
            <w:r>
              <w:rPr/>
              <w:t> </w:t>
            </w:r>
          </w:p>
        </w:tc>
        <w:tc>
          <w:tcPr>
            <w:tcW w:w="215" w:type="dxa"/>
            <w:tcBorders/>
            <w:shd w:fill="F2F2F2"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670" w:type="dxa"/>
            <w:tcBorders>
              <w:bottom w:val="single" w:sz="8" w:space="0" w:color="000000"/>
            </w:tcBorders>
            <w:shd w:fill="F2F2F2"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Net Income</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280" w:type="dxa"/>
            <w:tcBorders>
              <w:bottom w:val="single" w:sz="8" w:space="0" w:color="000000"/>
            </w:tcBorders>
            <w:shd w:fill="F2F2F2"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EBITDA</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shd w:fill="F2F2F2"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Diluted EPS</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shd w:fill="F2F2F2"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3-Year ROIC*</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shd w:fill="F2F2F2"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Stores</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340" w:type="dxa"/>
            <w:tcBorders>
              <w:bottom w:val="single" w:sz="8" w:space="0" w:color="000000"/>
            </w:tcBorders>
            <w:shd w:fill="F2F2F2"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Share Price </w:t>
            </w:r>
          </w:p>
        </w:tc>
        <w:tc>
          <w:tcPr>
            <w:tcW w:w="21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7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$714.4 million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$446.7 million (FY23)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8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$1.48 billion</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$952.5 million</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(FY23)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$19.16</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$11.91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(FY23)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12.1%</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11.8%</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(FY25)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2,944</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2,521</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(FY23)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4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$822.15</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$228.82</w:t>
            </w:r>
          </w:p>
          <w:p>
            <w:pPr>
              <w:pStyle w:val="TableContents"/>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(FY23)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7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60% increase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8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55.3% increase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60.9% increase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30 bp increase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16.8% increase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4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259.3% increase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590" w:type="dxa"/>
            <w:gridSpan w:val="16"/>
            <w:tcBorders/>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*EBITDA and ROIC are non-GAAP financial measures. See Appendix A for reconciliations/calculations for the applicable periods.</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590" w:type="dxa"/>
            <w:gridSpan w:val="16"/>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8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0" descr=""/>
                          <pic:cNvPicPr>
                            <a:picLocks noChangeAspect="1" noChangeArrowheads="1"/>
                          </pic:cNvPicPr>
                        </pic:nvPicPr>
                        <pic:blipFill>
                          <a:blip r:embed="rId81"/>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1" w:name="ny20072699x1_def14a_109-cda_pg2"/>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2026 Fiscal Year Compensation Highlights and Alignment of Pay with Performance</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As discussed below, these outstanding performance results in general, and with respect to EBITDA (both for the AIP and LTIP), yielded above target payouts on the AIP (161% of target) and the LTIP for fiscal years 2024-26 (200%, and with the application of the relative TSR modifier, as discussed below, 250%). As demonstrated, both our AIP and LTIP are strongly aligned with meaningful operating and strategic metrics, including those outlined in the Company’s long-term strategic plan, and place the majority of NEO compensation at-risk and dependent upon the Company’s performance. In fact, Mr. Rebelez has 89% of his target compensation at-risk, with the other NEOs averaging 80%. We believe this structure and these payout results are highly motivational and strongly aligned with creating long-term shareholder value, as our stock price increased over 77% during the 2026 fiscal year (which followed an over 30% increase during the 2025 fiscal year, and a nearly 40% increase during the 2024 fiscal year). </w:t>
      </w:r>
    </w:p>
    <w:tbl>
      <w:tblPr>
        <w:tblW w:w="10205" w:type="dxa"/>
        <w:jc w:val="left"/>
        <w:tblInd w:w="0" w:type="dxa"/>
        <w:tblLayout w:type="fixed"/>
        <w:tblCellMar>
          <w:top w:w="0" w:type="dxa"/>
          <w:left w:w="0" w:type="dxa"/>
          <w:bottom w:w="0" w:type="dxa"/>
          <w:right w:w="0" w:type="dxa"/>
        </w:tblCellMar>
      </w:tblPr>
      <w:tblGrid>
        <w:gridCol w:w="185"/>
        <w:gridCol w:w="3607"/>
        <w:gridCol w:w="170"/>
        <w:gridCol w:w="170"/>
        <w:gridCol w:w="5857"/>
        <w:gridCol w:w="216"/>
      </w:tblGrid>
      <w:tr>
        <w:trPr/>
        <w:tc>
          <w:tcPr>
            <w:tcW w:w="185" w:type="dxa"/>
            <w:tcBorders/>
            <w:shd w:fill="D9D9D9" w:val="clear"/>
            <w:vAlign w:val="center"/>
          </w:tcPr>
          <w:p>
            <w:pPr>
              <w:pStyle w:val="TableContents"/>
              <w:bidi w:val="0"/>
              <w:spacing w:before="0" w:after="0"/>
              <w:jc w:val="left"/>
              <w:rPr/>
            </w:pPr>
            <w:r>
              <w:rPr/>
              <w:t> </w:t>
            </w:r>
          </w:p>
        </w:tc>
        <w:tc>
          <w:tcPr>
            <w:tcW w:w="3607"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857" w:type="dxa"/>
            <w:tcBorders/>
            <w:shd w:fill="D9D9D9" w:val="clear"/>
            <w:vAlign w:val="center"/>
          </w:tcPr>
          <w:p>
            <w:pPr>
              <w:pStyle w:val="TableContents"/>
              <w:bidi w:val="0"/>
              <w:spacing w:before="0" w:after="0"/>
              <w:jc w:val="left"/>
              <w:rPr/>
            </w:pPr>
            <w:r>
              <w:rPr/>
              <w:t>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3607"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Annual Incentive Compensation Program (“AIP”)</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857"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Long-Term Incentive Compensation Program (“LTIP”) </w:t>
            </w:r>
          </w:p>
        </w:tc>
        <w:tc>
          <w:tcPr>
            <w:tcW w:w="216"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607" w:type="dxa"/>
            <w:tcBorders/>
            <w:vAlign w:val="center"/>
          </w:tcPr>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u w:val="single"/>
              </w:rPr>
              <w:t>AIP Summary</w:t>
            </w:r>
            <w:r>
              <w:rPr>
                <w:rFonts w:ascii="Times New Roman;Times;serif" w:hAnsi="Times New Roman;Times;serif"/>
                <w:b w:val="false"/>
                <w:color w:val="000000"/>
                <w:sz w:val="18"/>
              </w:rPr>
              <w:t>: At-risk performance-based pay, ranging from 0% to 200% of target, that delivers annual cash incentives when key financial/operating goals are met or exceeded.</w:t>
            </w:r>
          </w:p>
          <w:p>
            <w:pPr>
              <w:pStyle w:val="TableContents"/>
              <w:bidi w:val="0"/>
              <w:spacing w:before="12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u w:val="single"/>
              </w:rPr>
              <w:t>FY26 Changes</w:t>
            </w:r>
            <w:r>
              <w:rPr>
                <w:rFonts w:ascii="Times New Roman;Times;serif" w:hAnsi="Times New Roman;Times;serif"/>
                <w:b w:val="false"/>
                <w:color w:val="000000"/>
                <w:sz w:val="18"/>
              </w:rPr>
              <w:t>: No material changes for the FY26 AIP.</w:t>
            </w:r>
          </w:p>
          <w:p>
            <w:pPr>
              <w:pStyle w:val="TableContents"/>
              <w:bidi w:val="0"/>
              <w:spacing w:before="12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u w:val="single"/>
              </w:rPr>
              <w:t>FY26 Metrics</w:t>
            </w:r>
            <w:r>
              <w:rPr>
                <w:rFonts w:ascii="Times New Roman;Times;serif" w:hAnsi="Times New Roman;Times;serif"/>
                <w:b w:val="false"/>
                <w:color w:val="000000"/>
                <w:sz w:val="18"/>
              </w:rPr>
              <w:t>:</w:t>
            </w:r>
          </w:p>
          <w:p>
            <w:pPr>
              <w:pStyle w:val="TableContents"/>
              <w:bidi w:val="0"/>
              <w:spacing w:before="60" w:after="283"/>
              <w:ind w:left="35" w:right="0" w:hanging="0"/>
              <w:jc w:val="left"/>
              <w:rPr>
                <w:color w:val="000000"/>
              </w:rPr>
            </w:pPr>
            <w:r>
              <w:rPr>
                <w:color w:val="000000"/>
              </w:rPr>
              <w:t>⯀ </w:t>
            </w:r>
          </w:p>
          <w:p>
            <w:pPr>
              <w:pStyle w:val="TableContents"/>
              <w:bidi w:val="0"/>
              <w:spacing w:before="60" w:after="283"/>
              <w:jc w:val="left"/>
              <w:rPr>
                <w:rFonts w:ascii="Times New Roman;Times;serif" w:hAnsi="Times New Roman;Times;serif"/>
                <w:b w:val="false"/>
                <w:color w:val="000000"/>
                <w:sz w:val="18"/>
              </w:rPr>
            </w:pPr>
            <w:r>
              <w:rPr>
                <w:rFonts w:ascii="Times New Roman;Times;serif" w:hAnsi="Times New Roman;Times;serif"/>
                <w:b w:val="false"/>
                <w:color w:val="000000"/>
                <w:sz w:val="18"/>
              </w:rPr>
              <w:t>60% - EBITDA</w:t>
            </w:r>
          </w:p>
          <w:p>
            <w:pPr>
              <w:pStyle w:val="TableContents"/>
              <w:bidi w:val="0"/>
              <w:spacing w:before="60" w:after="283"/>
              <w:ind w:left="35" w:right="0" w:hanging="0"/>
              <w:jc w:val="left"/>
              <w:rPr>
                <w:color w:val="000000"/>
              </w:rPr>
            </w:pPr>
            <w:r>
              <w:rPr>
                <w:color w:val="000000"/>
              </w:rPr>
              <w:t>⯀ </w:t>
            </w:r>
          </w:p>
          <w:p>
            <w:pPr>
              <w:pStyle w:val="TableContents"/>
              <w:bidi w:val="0"/>
              <w:spacing w:before="60" w:after="283"/>
              <w:jc w:val="left"/>
              <w:rPr>
                <w:rFonts w:ascii="Times New Roman;Times;serif" w:hAnsi="Times New Roman;Times;serif"/>
                <w:b w:val="false"/>
                <w:color w:val="000000"/>
                <w:sz w:val="18"/>
              </w:rPr>
            </w:pPr>
            <w:r>
              <w:rPr>
                <w:rFonts w:ascii="Times New Roman;Times;serif" w:hAnsi="Times New Roman;Times;serif"/>
                <w:b w:val="false"/>
                <w:color w:val="000000"/>
                <w:sz w:val="18"/>
              </w:rPr>
              <w:t>40% - same store sales growth (inside sales)</w:t>
            </w:r>
          </w:p>
          <w:p>
            <w:pPr>
              <w:pStyle w:val="TableContents"/>
              <w:bidi w:val="0"/>
              <w:spacing w:before="12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u w:val="single"/>
              </w:rPr>
              <w:t>FY26 Payout</w:t>
            </w:r>
            <w:r>
              <w:rPr>
                <w:rFonts w:ascii="Times New Roman;Times;serif" w:hAnsi="Times New Roman;Times;serif"/>
                <w:b w:val="false"/>
                <w:color w:val="000000"/>
                <w:sz w:val="18"/>
              </w:rPr>
              <w:t>: Due to the Company’s strong performance during the 2026 fiscal year, including delivering record EBITDA of $1.48 billion, and an inside sales increase of 4.2%, the NEOs achieved an annual incentive payout equal to 161% of their respective AIP target (for reference, the FY25 AIP payout was 109% of target).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57"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u w:val="single"/>
              </w:rPr>
              <w:t>LTIP Summary</w:t>
            </w:r>
            <w:r>
              <w:rPr>
                <w:rFonts w:ascii="Times New Roman;Times;serif" w:hAnsi="Times New Roman;Times;serif"/>
                <w:b w:val="false"/>
                <w:color w:val="000000"/>
                <w:sz w:val="18"/>
              </w:rPr>
              <w:t>: At-risk equity-based awards (RSUs and PSUs), the latter of which deliver long-term incentives when key financial/operating goals are met or exceeded over a three-year performance period; range from 0% to 200% of target, with a 25% rTSR modifier based on top/bottom quartile of S&amp;P 500.</w:t>
            </w:r>
          </w:p>
          <w:p>
            <w:pPr>
              <w:pStyle w:val="TableContents"/>
              <w:bidi w:val="0"/>
              <w:spacing w:before="12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u w:val="single"/>
              </w:rPr>
              <w:t>FY26 Changes</w:t>
            </w:r>
            <w:r>
              <w:rPr>
                <w:rFonts w:ascii="Times New Roman;Times;serif" w:hAnsi="Times New Roman;Times;serif"/>
                <w:b w:val="false"/>
                <w:color w:val="000000"/>
                <w:sz w:val="18"/>
              </w:rPr>
              <w:t>: No material changes for the FY26 LTIP.</w:t>
            </w:r>
          </w:p>
          <w:p>
            <w:pPr>
              <w:pStyle w:val="TableContents"/>
              <w:bidi w:val="0"/>
              <w:spacing w:before="12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u w:val="single"/>
              </w:rPr>
              <w:t>FY26 Metrics (FY26-FY28 performance period)</w:t>
            </w:r>
            <w:r>
              <w:rPr>
                <w:rFonts w:ascii="Times New Roman;Times;serif" w:hAnsi="Times New Roman;Times;serif"/>
                <w:b w:val="false"/>
                <w:color w:val="000000"/>
                <w:sz w:val="18"/>
              </w:rPr>
              <w:t>: The LTIP value is delivered 75% as PSUs and 25% as RSUs. The metrics for the PSUs are split 50% on 3-year cumulative EBITDA and 50% on 3-year average ROIC performance.</w:t>
            </w:r>
          </w:p>
          <w:p>
            <w:pPr>
              <w:pStyle w:val="TableContents"/>
              <w:bidi w:val="0"/>
              <w:spacing w:before="12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u w:val="single"/>
              </w:rPr>
              <w:t>FY24-FY26 Payout</w:t>
            </w:r>
            <w:r>
              <w:rPr>
                <w:rFonts w:ascii="Times New Roman;Times;serif" w:hAnsi="Times New Roman;Times;serif"/>
                <w:b w:val="false"/>
                <w:color w:val="000000"/>
                <w:sz w:val="18"/>
              </w:rPr>
              <w:t>: Due to the continued long-term success of the Company, the LTIP PSU awards granted during the 2024 fiscal year (i.e., June 2023) vested at 200% of target (i.e., max) for the EBITDA PSUs and 200% of target (i.e., max) for the relative ROIC PSUs, resulting in the value of earned PSUs being above target value but appropriately aligned with strong Company results. In addition, due to the Company’s outstanding rTSR at the 93rd percentile relative to the S&amp;P 500 over such period (with actual TSR of 249%), the rTSR PSU modifier was achieved, resulting in a 25% increase in PSUs actually awarded, for a total LTIP payout at 250% of target.</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607"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857"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The Compensation and Human Capital Committee (in the CD&amp;A, the “Committee”), with the support of its independent compensation consultant, completes an annual analysis of the alignment between the realizable pay for our CEO and CFO and our TSR performance relative to the results of our peers. Realizable pay differs from target pay opportunities used to make pay decisions, and results required to be reported in the proxy’s compensation tables, in that it focuses on the compensation actually earned, or which could be earned, by our executives. For the three-year period from fiscal years 2023 to 2025, this analysis demonstrated strong alignment between pay outcomes and company performance, with 3-year TSR ranking third among our peer group, while CEO and CFO realizable pay ranked fifth in absolute terms and second on a relative basis as measured by realizable pay as a percentage of target compensation. This outcome reflects the performance-based design of the Company’s compensation program, under which a significant portion of executive compensation is variable and directly tied to shareholder value creation over time.</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Our “say-on-pay” vote at the 2025 annual shareholders’ meeting received 98% support, which the Committee views as evidence of shareholder support of our executive compensation decisions and policies. The Committee firmly believes the program was designed well and that the Company performed exceptionally well and delivered outstanding returns to shareholders, and the NEOs were rewarded accordingly.</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8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1" descr=""/>
                          <pic:cNvPicPr>
                            <a:picLocks noChangeAspect="1" noChangeArrowheads="1"/>
                          </pic:cNvPicPr>
                        </pic:nvPicPr>
                        <pic:blipFill>
                          <a:blip r:embed="rId82"/>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2" w:name="ny20072699x1_def14a_109-cda_pg3"/>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3" w:name="tCP"/>
      <w:bookmarkEnd w:id="73"/>
      <w:r>
        <w:rPr>
          <w:rFonts w:ascii="Times New Roman;Times;serif" w:hAnsi="Times New Roman;Times;serif"/>
          <w:b/>
          <w:color w:val="000000"/>
          <w:sz w:val="20"/>
          <w:u w:val="single"/>
        </w:rPr>
        <w:t>EXECUTIVE COMPENSATION PHILOSOPHY AND BEST PRACTICES</w:t>
      </w:r>
      <w:r>
        <w:rPr>
          <w:rFonts w:ascii="Times New Roman;Times;serif" w:hAnsi="Times New Roman;Times;serif"/>
          <w:b/>
          <w:color w:val="000000"/>
          <w:sz w:val="20"/>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 designing the executive compensation program, the Committee’s philosophy is straightforward – attract, motivate and retain talented executives, emphasize pay-for-performance, and focus on long-term success and shareholder alignment: </w:t>
      </w:r>
    </w:p>
    <w:tbl>
      <w:tblPr>
        <w:tblW w:w="10205" w:type="dxa"/>
        <w:jc w:val="left"/>
        <w:tblInd w:w="0" w:type="dxa"/>
        <w:tblLayout w:type="fixed"/>
        <w:tblCellMar>
          <w:top w:w="0" w:type="dxa"/>
          <w:left w:w="0" w:type="dxa"/>
          <w:bottom w:w="0" w:type="dxa"/>
          <w:right w:w="0" w:type="dxa"/>
        </w:tblCellMar>
      </w:tblPr>
      <w:tblGrid>
        <w:gridCol w:w="185"/>
        <w:gridCol w:w="1408"/>
        <w:gridCol w:w="170"/>
        <w:gridCol w:w="170"/>
        <w:gridCol w:w="1393"/>
        <w:gridCol w:w="170"/>
        <w:gridCol w:w="170"/>
        <w:gridCol w:w="1106"/>
        <w:gridCol w:w="170"/>
        <w:gridCol w:w="170"/>
        <w:gridCol w:w="1403"/>
        <w:gridCol w:w="170"/>
        <w:gridCol w:w="170"/>
        <w:gridCol w:w="1411"/>
        <w:gridCol w:w="170"/>
        <w:gridCol w:w="170"/>
        <w:gridCol w:w="1382"/>
        <w:gridCol w:w="217"/>
      </w:tblGrid>
      <w:tr>
        <w:trPr/>
        <w:tc>
          <w:tcPr>
            <w:tcW w:w="185" w:type="dxa"/>
            <w:tcBorders/>
            <w:shd w:fill="D9D9D9" w:val="clear"/>
            <w:vAlign w:val="center"/>
          </w:tcPr>
          <w:p>
            <w:pPr>
              <w:pStyle w:val="TableContents"/>
              <w:bidi w:val="0"/>
              <w:spacing w:before="0" w:after="0"/>
              <w:jc w:val="left"/>
              <w:rPr/>
            </w:pPr>
            <w:r>
              <w:rPr/>
              <w:t> </w:t>
            </w:r>
          </w:p>
        </w:tc>
        <w:tc>
          <w:tcPr>
            <w:tcW w:w="9803" w:type="dxa"/>
            <w:gridSpan w:val="16"/>
            <w:tcBorders/>
            <w:shd w:fill="D9D9D9" w:val="clear"/>
            <w:vAlign w:val="center"/>
          </w:tcPr>
          <w:p>
            <w:pPr>
              <w:pStyle w:val="TableContents"/>
              <w:bidi w:val="0"/>
              <w:spacing w:before="0" w:after="0"/>
              <w:jc w:val="left"/>
              <w:rPr/>
            </w:pPr>
            <w:r>
              <w:rPr/>
              <w:t>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3" w:type="dxa"/>
            <w:gridSpan w:val="16"/>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Executive Compensation Philosophy </w:t>
            </w:r>
          </w:p>
        </w:tc>
        <w:tc>
          <w:tcPr>
            <w:tcW w:w="217"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08"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Motivates/Rewards Performance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93"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Aligns with Shareholders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06"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Attracts and Retains Top Talent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03"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Reinforces Risk Management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1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Clear and Transparent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82"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Strengthens Governance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08"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Create rewards in the short-term and longer-term</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93"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Ensure alignment of interests with shareholders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6"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Attract/retain talent to achieve objectives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3"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Ensure programs are appropriately risk balanced</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1"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Programs are understandable and simple</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2"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Satisfy the spirit of the law and the letter of the law</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08"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93"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06"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03"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11"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82" w:type="dxa"/>
            <w:tcBorders>
              <w:bottom w:val="single" w:sz="8" w:space="0" w:color="000000"/>
            </w:tcBorders>
            <w:tcMar>
              <w:bottom w:w="28" w:type="dxa"/>
            </w:tcMar>
            <w:vAlign w:val="center"/>
          </w:tcPr>
          <w:p>
            <w:pPr>
              <w:pStyle w:val="TableContents"/>
              <w:bidi w:val="0"/>
              <w:spacing w:before="0" w:after="0"/>
              <w:jc w:val="left"/>
              <w:rPr/>
            </w:pPr>
            <w:r>
              <w:rPr/>
              <w:t>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As noted, the Committee’s philosophy supports good governance and discourages excessive risk-taking: </w:t>
      </w:r>
    </w:p>
    <w:tbl>
      <w:tblPr>
        <w:tblW w:w="10205" w:type="dxa"/>
        <w:jc w:val="left"/>
        <w:tblInd w:w="0" w:type="dxa"/>
        <w:tblLayout w:type="fixed"/>
        <w:tblCellMar>
          <w:top w:w="0" w:type="dxa"/>
          <w:left w:w="0" w:type="dxa"/>
          <w:bottom w:w="0" w:type="dxa"/>
          <w:right w:w="0" w:type="dxa"/>
        </w:tblCellMar>
      </w:tblPr>
      <w:tblGrid>
        <w:gridCol w:w="185"/>
        <w:gridCol w:w="5651"/>
        <w:gridCol w:w="170"/>
        <w:gridCol w:w="170"/>
        <w:gridCol w:w="3813"/>
        <w:gridCol w:w="216"/>
      </w:tblGrid>
      <w:tr>
        <w:trPr/>
        <w:tc>
          <w:tcPr>
            <w:tcW w:w="185" w:type="dxa"/>
            <w:tcBorders/>
            <w:shd w:fill="D9D9D9" w:val="clear"/>
            <w:vAlign w:val="center"/>
          </w:tcPr>
          <w:p>
            <w:pPr>
              <w:pStyle w:val="TableContents"/>
              <w:bidi w:val="0"/>
              <w:spacing w:before="0" w:after="0"/>
              <w:jc w:val="left"/>
              <w:rPr/>
            </w:pPr>
            <w:r>
              <w:rPr/>
              <w:t> </w:t>
            </w:r>
          </w:p>
        </w:tc>
        <w:tc>
          <w:tcPr>
            <w:tcW w:w="5651"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813" w:type="dxa"/>
            <w:tcBorders/>
            <w:shd w:fill="D9D9D9" w:val="clear"/>
            <w:vAlign w:val="center"/>
          </w:tcPr>
          <w:p>
            <w:pPr>
              <w:pStyle w:val="TableContents"/>
              <w:bidi w:val="0"/>
              <w:spacing w:before="0" w:after="0"/>
              <w:jc w:val="left"/>
              <w:rPr/>
            </w:pPr>
            <w:r>
              <w:rPr/>
              <w:t>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651"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What We Do</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3813"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What We Don’t Do </w:t>
            </w:r>
          </w:p>
        </w:tc>
        <w:tc>
          <w:tcPr>
            <w:tcW w:w="216"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651" w:type="dxa"/>
            <w:tcBorders/>
            <w:vAlign w:val="center"/>
          </w:tcPr>
          <w:p>
            <w:pPr>
              <w:pStyle w:val="TableContents"/>
              <w:bidi w:val="0"/>
              <w:spacing w:before="0" w:after="283"/>
              <w:ind w:left="35" w:right="0" w:hanging="0"/>
              <w:jc w:val="left"/>
              <w:rPr>
                <w:color w:val="000000"/>
              </w:rPr>
            </w:pPr>
            <w:r>
              <w:rPr>
                <w:color w:val="000000"/>
              </w:rPr>
              <w:t xml:space="preserve">✔ </w:t>
            </w:r>
            <w:r>
              <w:rPr>
                <w:rFonts w:ascii="Times New Roman;Times;serif" w:hAnsi="Times New Roman;Times;serif"/>
                <w:b/>
                <w:color w:val="000000"/>
                <w:sz w:val="18"/>
              </w:rPr>
              <w:t>Pay for performance</w:t>
            </w:r>
            <w:r>
              <w:rPr>
                <w:rFonts w:ascii="Times New Roman;Times;serif" w:hAnsi="Times New Roman;Times;serif"/>
                <w:b w:val="false"/>
                <w:color w:val="000000"/>
                <w:sz w:val="18"/>
              </w:rPr>
              <w:t>: A significant portion of NEO compensation is tied to financial performance and is “at-risk”.</w:t>
            </w:r>
          </w:p>
          <w:p>
            <w:pPr>
              <w:pStyle w:val="TableContents"/>
              <w:bidi w:val="0"/>
              <w:spacing w:before="120" w:after="283"/>
              <w:ind w:left="35" w:right="0" w:hanging="0"/>
              <w:jc w:val="left"/>
              <w:rPr>
                <w:color w:val="000000"/>
              </w:rPr>
            </w:pPr>
            <w:r>
              <w:rPr>
                <w:color w:val="000000"/>
              </w:rPr>
              <w:t xml:space="preserve">✔ </w:t>
            </w:r>
            <w:r>
              <w:rPr>
                <w:rFonts w:ascii="Times New Roman;Times;serif" w:hAnsi="Times New Roman;Times;serif"/>
                <w:b/>
                <w:color w:val="000000"/>
                <w:sz w:val="18"/>
              </w:rPr>
              <w:t>Reasonable balance between short-term and long-term incentives</w:t>
            </w:r>
            <w:r>
              <w:rPr>
                <w:rFonts w:ascii="Times New Roman;Times;serif" w:hAnsi="Times New Roman;Times;serif"/>
                <w:b w:val="false"/>
                <w:color w:val="000000"/>
                <w:sz w:val="18"/>
              </w:rPr>
              <w:t>: A reasonable balance between cash and stock, fixed and variable compensation, short- and long-term compensation, and performance- and service-based awards, discourages short-term risk taking at the expense of long-term results.</w:t>
            </w:r>
          </w:p>
          <w:p>
            <w:pPr>
              <w:pStyle w:val="TableContents"/>
              <w:bidi w:val="0"/>
              <w:spacing w:before="120" w:after="283"/>
              <w:ind w:left="35" w:right="0" w:hanging="0"/>
              <w:jc w:val="left"/>
              <w:rPr>
                <w:color w:val="000000"/>
              </w:rPr>
            </w:pPr>
            <w:r>
              <w:rPr>
                <w:color w:val="000000"/>
              </w:rPr>
              <w:t xml:space="preserve">✔ </w:t>
            </w:r>
            <w:r>
              <w:rPr>
                <w:rFonts w:ascii="Times New Roman;Times;serif" w:hAnsi="Times New Roman;Times;serif"/>
                <w:b/>
                <w:color w:val="000000"/>
                <w:sz w:val="18"/>
              </w:rPr>
              <w:t>Share ownership requirements</w:t>
            </w:r>
            <w:r>
              <w:rPr>
                <w:rFonts w:ascii="Times New Roman;Times;serif" w:hAnsi="Times New Roman;Times;serif"/>
                <w:b w:val="false"/>
                <w:color w:val="000000"/>
                <w:sz w:val="18"/>
              </w:rPr>
              <w:t>: Meaningful requirements are in place for executives based on multiples of base salary.</w:t>
            </w:r>
          </w:p>
          <w:p>
            <w:pPr>
              <w:pStyle w:val="TableContents"/>
              <w:bidi w:val="0"/>
              <w:spacing w:before="120" w:after="283"/>
              <w:ind w:left="35" w:right="0" w:hanging="0"/>
              <w:jc w:val="left"/>
              <w:rPr>
                <w:color w:val="000000"/>
              </w:rPr>
            </w:pPr>
            <w:r>
              <w:rPr>
                <w:color w:val="000000"/>
              </w:rPr>
              <w:t xml:space="preserve">✔ </w:t>
            </w:r>
            <w:r>
              <w:rPr>
                <w:rFonts w:ascii="Times New Roman;Times;serif" w:hAnsi="Times New Roman;Times;serif"/>
                <w:b/>
                <w:color w:val="000000"/>
                <w:sz w:val="18"/>
              </w:rPr>
              <w:t>Multiple performance metrics</w:t>
            </w:r>
            <w:r>
              <w:rPr>
                <w:rFonts w:ascii="Times New Roman;Times;serif" w:hAnsi="Times New Roman;Times;serif"/>
                <w:b w:val="false"/>
                <w:color w:val="000000"/>
                <w:sz w:val="18"/>
              </w:rPr>
              <w:t>: Both the annual and long-term incentive programs use multiple performance metrics measuring results over different timeframes. This approach discourages excessive risk-taking by removing any incentive to focus on a single performance goal to the detriment of the Company.</w:t>
            </w:r>
          </w:p>
          <w:p>
            <w:pPr>
              <w:pStyle w:val="TableContents"/>
              <w:bidi w:val="0"/>
              <w:spacing w:before="120" w:after="283"/>
              <w:ind w:left="35" w:right="0" w:hanging="0"/>
              <w:jc w:val="left"/>
              <w:rPr>
                <w:color w:val="000000"/>
              </w:rPr>
            </w:pPr>
            <w:r>
              <w:rPr>
                <w:color w:val="000000"/>
              </w:rPr>
              <w:t xml:space="preserve">✔ </w:t>
            </w:r>
            <w:r>
              <w:rPr>
                <w:rFonts w:ascii="Times New Roman;Times;serif" w:hAnsi="Times New Roman;Times;serif"/>
                <w:b/>
                <w:color w:val="000000"/>
                <w:sz w:val="18"/>
              </w:rPr>
              <w:t>Clawback policy</w:t>
            </w:r>
            <w:r>
              <w:rPr>
                <w:rFonts w:ascii="Times New Roman;Times;serif" w:hAnsi="Times New Roman;Times;serif"/>
                <w:b w:val="false"/>
                <w:color w:val="000000"/>
                <w:sz w:val="18"/>
              </w:rPr>
              <w:t>: Requires the Company to recoup certain compensation payments or equity awards in the event of a certain restatements of the Company’s financials.</w:t>
            </w:r>
          </w:p>
          <w:p>
            <w:pPr>
              <w:pStyle w:val="TableContents"/>
              <w:bidi w:val="0"/>
              <w:spacing w:before="120" w:after="283"/>
              <w:ind w:left="35" w:right="0" w:hanging="0"/>
              <w:jc w:val="left"/>
              <w:rPr>
                <w:color w:val="000000"/>
              </w:rPr>
            </w:pPr>
            <w:r>
              <w:rPr>
                <w:color w:val="000000"/>
              </w:rPr>
              <w:t xml:space="preserve">✔ </w:t>
            </w:r>
            <w:r>
              <w:rPr>
                <w:rFonts w:ascii="Times New Roman;Times;serif" w:hAnsi="Times New Roman;Times;serif"/>
                <w:b/>
                <w:color w:val="000000"/>
                <w:sz w:val="18"/>
              </w:rPr>
              <w:t>Double-trigger protection</w:t>
            </w:r>
            <w:r>
              <w:rPr>
                <w:rFonts w:ascii="Times New Roman;Times;serif" w:hAnsi="Times New Roman;Times;serif"/>
                <w:b w:val="false"/>
                <w:color w:val="000000"/>
                <w:sz w:val="18"/>
              </w:rPr>
              <w:t>: Change of control agreements provide benefits only in the event that the NEO is terminated without cause or resigns for good reason. Under the Company’s stock incentive plan, all unvested awards also provide for “double-trigger” protection – there are no equity awards with single-trigger provisions.</w:t>
            </w:r>
          </w:p>
          <w:p>
            <w:pPr>
              <w:pStyle w:val="TableContents"/>
              <w:bidi w:val="0"/>
              <w:spacing w:before="120" w:after="283"/>
              <w:ind w:left="35" w:right="0" w:hanging="0"/>
              <w:jc w:val="left"/>
              <w:rPr>
                <w:color w:val="000000"/>
              </w:rPr>
            </w:pPr>
            <w:r>
              <w:rPr>
                <w:color w:val="000000"/>
              </w:rPr>
              <w:t xml:space="preserve">✔ </w:t>
            </w:r>
            <w:r>
              <w:rPr>
                <w:rFonts w:ascii="Times New Roman;Times;serif" w:hAnsi="Times New Roman;Times;serif"/>
                <w:b/>
                <w:color w:val="000000"/>
                <w:sz w:val="18"/>
              </w:rPr>
              <w:t>Independent advisor</w:t>
            </w:r>
            <w:r>
              <w:rPr>
                <w:rFonts w:ascii="Times New Roman;Times;serif" w:hAnsi="Times New Roman;Times;serif"/>
                <w:b w:val="false"/>
                <w:color w:val="000000"/>
                <w:sz w:val="18"/>
              </w:rPr>
              <w:t>: The Committee retains an independent consultant to advise on the compensation program and practices.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3" w:type="dxa"/>
            <w:tcBorders/>
            <w:vAlign w:val="center"/>
          </w:tcPr>
          <w:p>
            <w:pPr>
              <w:pStyle w:val="TableContents"/>
              <w:bidi w:val="0"/>
              <w:spacing w:before="0" w:after="283"/>
              <w:ind w:left="0" w:right="0" w:hanging="0"/>
              <w:jc w:val="left"/>
              <w:rPr>
                <w:color w:val="000000"/>
              </w:rPr>
            </w:pPr>
            <w:r>
              <w:rPr>
                <w:color w:val="000000"/>
              </w:rPr>
              <w:t xml:space="preserve">☒ </w:t>
            </w:r>
            <w:r>
              <w:rPr>
                <w:rFonts w:ascii="Times New Roman;Times;serif" w:hAnsi="Times New Roman;Times;serif"/>
                <w:b/>
                <w:color w:val="000000"/>
                <w:sz w:val="18"/>
              </w:rPr>
              <w:t>No guaranteed incentive payments</w:t>
            </w:r>
            <w:r>
              <w:rPr>
                <w:rFonts w:ascii="Times New Roman;Times;serif" w:hAnsi="Times New Roman;Times;serif"/>
                <w:color w:val="000000"/>
                <w:sz w:val="18"/>
              </w:rPr>
              <w:t xml:space="preserve">: We do not provide guaranteed incentive payments to our NEOs. Other than base salaries, none of our NEOs’ compensation is guaranteed. </w:t>
            </w:r>
          </w:p>
          <w:p>
            <w:pPr>
              <w:pStyle w:val="TableContents"/>
              <w:bidi w:val="0"/>
              <w:spacing w:before="120" w:after="283"/>
              <w:ind w:left="0" w:right="0" w:hanging="0"/>
              <w:jc w:val="left"/>
              <w:rPr>
                <w:color w:val="000000"/>
              </w:rPr>
            </w:pPr>
            <w:r>
              <w:rPr>
                <w:color w:val="000000"/>
              </w:rPr>
              <w:t xml:space="preserve">☒ </w:t>
            </w:r>
            <w:r>
              <w:rPr>
                <w:rFonts w:ascii="Times New Roman;Times;serif" w:hAnsi="Times New Roman;Times;serif"/>
                <w:b/>
                <w:color w:val="000000"/>
                <w:sz w:val="18"/>
              </w:rPr>
              <w:t>No uncapped incentive compensation opportunities</w:t>
            </w:r>
            <w:r>
              <w:rPr>
                <w:rFonts w:ascii="Times New Roman;Times;serif" w:hAnsi="Times New Roman;Times;serif"/>
                <w:color w:val="000000"/>
                <w:sz w:val="18"/>
              </w:rPr>
              <w:t xml:space="preserve">: All incentive plans have maximum levels of payout, even if the Company exceeds our maximum performance objectives. </w:t>
            </w:r>
          </w:p>
          <w:p>
            <w:pPr>
              <w:pStyle w:val="TableContents"/>
              <w:bidi w:val="0"/>
              <w:spacing w:before="120" w:after="283"/>
              <w:ind w:left="0" w:right="0" w:hanging="0"/>
              <w:jc w:val="left"/>
              <w:rPr>
                <w:color w:val="000000"/>
              </w:rPr>
            </w:pPr>
            <w:r>
              <w:rPr>
                <w:color w:val="000000"/>
              </w:rPr>
              <w:t xml:space="preserve">☒ </w:t>
            </w:r>
            <w:r>
              <w:rPr>
                <w:rFonts w:ascii="Times New Roman;Times;serif" w:hAnsi="Times New Roman;Times;serif"/>
                <w:b/>
                <w:color w:val="000000"/>
                <w:sz w:val="18"/>
              </w:rPr>
              <w:t>No tax gross-ups</w:t>
            </w:r>
            <w:r>
              <w:rPr>
                <w:rFonts w:ascii="Times New Roman;Times;serif" w:hAnsi="Times New Roman;Times;serif"/>
                <w:color w:val="000000"/>
                <w:sz w:val="18"/>
              </w:rPr>
              <w:t xml:space="preserve">: No tax gross-ups are paid to cover personal income taxes or excise taxes that pertain to executive or severance benefits, including perquisites. </w:t>
            </w:r>
          </w:p>
          <w:p>
            <w:pPr>
              <w:pStyle w:val="TableContents"/>
              <w:bidi w:val="0"/>
              <w:spacing w:before="120" w:after="283"/>
              <w:ind w:left="0" w:right="0" w:hanging="0"/>
              <w:jc w:val="left"/>
              <w:rPr>
                <w:color w:val="000000"/>
              </w:rPr>
            </w:pPr>
            <w:r>
              <w:rPr>
                <w:color w:val="000000"/>
              </w:rPr>
              <w:t xml:space="preserve">☒ </w:t>
            </w:r>
            <w:r>
              <w:rPr>
                <w:rFonts w:ascii="Times New Roman;Times;serif" w:hAnsi="Times New Roman;Times;serif"/>
                <w:b/>
                <w:color w:val="000000"/>
                <w:sz w:val="18"/>
              </w:rPr>
              <w:t>No excessive benefits or perquisites</w:t>
            </w:r>
            <w:r>
              <w:rPr>
                <w:rFonts w:ascii="Times New Roman;Times;serif" w:hAnsi="Times New Roman;Times;serif"/>
                <w:color w:val="000000"/>
                <w:sz w:val="18"/>
              </w:rPr>
              <w:t xml:space="preserve">: The Company does not maintain enhanced health or retirement benefits for its executives and does not permit excessive perquisites. </w:t>
            </w:r>
          </w:p>
          <w:p>
            <w:pPr>
              <w:pStyle w:val="TableContents"/>
              <w:bidi w:val="0"/>
              <w:spacing w:before="120" w:after="283"/>
              <w:ind w:left="0" w:right="0" w:hanging="0"/>
              <w:jc w:val="left"/>
              <w:rPr>
                <w:color w:val="000000"/>
              </w:rPr>
            </w:pPr>
            <w:r>
              <w:rPr>
                <w:color w:val="000000"/>
              </w:rPr>
              <w:t xml:space="preserve">☒ </w:t>
            </w:r>
            <w:r>
              <w:rPr>
                <w:rFonts w:ascii="Times New Roman;Times;serif" w:hAnsi="Times New Roman;Times;serif"/>
                <w:b/>
                <w:color w:val="000000"/>
                <w:sz w:val="18"/>
              </w:rPr>
              <w:t>No hedging or pledging of Company stock</w:t>
            </w:r>
            <w:r>
              <w:rPr>
                <w:rFonts w:ascii="Times New Roman;Times;serif" w:hAnsi="Times New Roman;Times;serif"/>
                <w:color w:val="000000"/>
                <w:sz w:val="18"/>
              </w:rPr>
              <w:t xml:space="preserve">: The Company prohibits the hedging of Company stock and other short-term or speculative transactions as well as the pledging of Company stock. </w:t>
            </w:r>
          </w:p>
          <w:p>
            <w:pPr>
              <w:pStyle w:val="TableContents"/>
              <w:bidi w:val="0"/>
              <w:spacing w:before="120" w:after="283"/>
              <w:ind w:left="0" w:right="0" w:hanging="0"/>
              <w:jc w:val="left"/>
              <w:rPr>
                <w:color w:val="000000"/>
              </w:rPr>
            </w:pPr>
            <w:r>
              <w:rPr>
                <w:color w:val="000000"/>
              </w:rPr>
              <w:t xml:space="preserve">☒ </w:t>
            </w:r>
            <w:r>
              <w:rPr>
                <w:rFonts w:ascii="Times New Roman;Times;serif" w:hAnsi="Times New Roman;Times;serif"/>
                <w:b/>
                <w:color w:val="000000"/>
                <w:sz w:val="18"/>
              </w:rPr>
              <w:t>No payment of dividends on unvested stock awards</w:t>
            </w:r>
            <w:r>
              <w:rPr>
                <w:rFonts w:ascii="Times New Roman;Times;serif" w:hAnsi="Times New Roman;Times;serif"/>
                <w:color w:val="000000"/>
                <w:sz w:val="18"/>
              </w:rPr>
              <w:t xml:space="preserve">: Unvested stock awards earn dividend equivalents, which are paid in cash upon vesting only if, and to the extent that, the underlying awards vest. </w:t>
            </w:r>
          </w:p>
          <w:p>
            <w:pPr>
              <w:pStyle w:val="TableContents"/>
              <w:bidi w:val="0"/>
              <w:spacing w:before="120" w:after="283"/>
              <w:ind w:left="0" w:right="0" w:hanging="0"/>
              <w:jc w:val="left"/>
              <w:rPr>
                <w:color w:val="000000"/>
              </w:rPr>
            </w:pPr>
            <w:r>
              <w:rPr>
                <w:color w:val="000000"/>
              </w:rPr>
              <w:t xml:space="preserve">☒ </w:t>
            </w:r>
            <w:r>
              <w:rPr>
                <w:rFonts w:ascii="Times New Roman;Times;serif" w:hAnsi="Times New Roman;Times;serif"/>
                <w:b/>
                <w:color w:val="000000"/>
                <w:sz w:val="18"/>
              </w:rPr>
              <w:t>No practices that encourage excessive risk-taking</w:t>
            </w:r>
            <w:r>
              <w:rPr>
                <w:rFonts w:ascii="Times New Roman;Times;serif" w:hAnsi="Times New Roman;Times;serif"/>
                <w:color w:val="000000"/>
                <w:sz w:val="18"/>
              </w:rPr>
              <w:t>: The Company provides balanced compensation, a significant portion of which is long-term, at-risk and subject to multiple performance metrics.</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5651"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13"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8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2" descr=""/>
                          <pic:cNvPicPr>
                            <a:picLocks noChangeAspect="1" noChangeArrowheads="1"/>
                          </pic:cNvPicPr>
                        </pic:nvPicPr>
                        <pic:blipFill>
                          <a:blip r:embed="rId83"/>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4" w:name="ny20072699x1_def14a_109-cda_pg4"/>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5" w:name="tPDE"/>
      <w:bookmarkEnd w:id="75"/>
      <w:r>
        <w:rPr>
          <w:rFonts w:ascii="Times New Roman;Times;serif" w:hAnsi="Times New Roman;Times;serif"/>
          <w:b/>
          <w:color w:val="000000"/>
          <w:sz w:val="20"/>
          <w:u w:val="single"/>
        </w:rPr>
        <w:t>EXECUTIVE COMPENSATION PROCESS</w:t>
      </w:r>
      <w:r>
        <w:rPr>
          <w:rFonts w:ascii="Times New Roman;Times;serif" w:hAnsi="Times New Roman;Times;serif"/>
          <w:b/>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D9D9D9" w:val="clear"/>
            <w:vAlign w:val="center"/>
          </w:tcPr>
          <w:p>
            <w:pPr>
              <w:pStyle w:val="TableContents"/>
              <w:bidi w:val="0"/>
              <w:spacing w:before="0" w:after="0"/>
              <w:jc w:val="left"/>
              <w:rPr/>
            </w:pPr>
            <w:r>
              <w:rPr/>
              <w:t> </w:t>
            </w:r>
          </w:p>
        </w:tc>
        <w:tc>
          <w:tcPr>
            <w:tcW w:w="9805"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5"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Roles in Determining Executive Compensation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Committee and the Board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The Committee oversees our executive compensation program and is charged with the following:</w:t>
            </w:r>
          </w:p>
          <w:p>
            <w:pPr>
              <w:pStyle w:val="TableContents"/>
              <w:bidi w:val="0"/>
              <w:spacing w:before="60" w:after="283"/>
              <w:ind w:left="35" w:right="0" w:hanging="0"/>
              <w:jc w:val="left"/>
              <w:rPr>
                <w:color w:val="000000"/>
              </w:rPr>
            </w:pPr>
            <w:r>
              <w:rPr>
                <w:color w:val="000000"/>
              </w:rPr>
              <w:t>⯀ </w:t>
            </w:r>
            <w:r>
              <w:rPr>
                <w:rFonts w:ascii="Times New Roman;Times;serif" w:hAnsi="Times New Roman;Times;serif"/>
                <w:color w:val="000000"/>
                <w:sz w:val="18"/>
              </w:rPr>
              <w:t>Approves the structure and performance goals of the AIP and LTIP</w:t>
            </w:r>
          </w:p>
          <w:p>
            <w:pPr>
              <w:pStyle w:val="TableContents"/>
              <w:bidi w:val="0"/>
              <w:spacing w:before="60" w:after="283"/>
              <w:ind w:left="35" w:right="0" w:hanging="0"/>
              <w:jc w:val="left"/>
              <w:rPr>
                <w:color w:val="000000"/>
              </w:rPr>
            </w:pPr>
            <w:r>
              <w:rPr>
                <w:color w:val="000000"/>
              </w:rPr>
              <w:t>⯀ </w:t>
            </w:r>
          </w:p>
          <w:p>
            <w:pPr>
              <w:pStyle w:val="TableContents"/>
              <w:bidi w:val="0"/>
              <w:spacing w:before="60" w:after="283"/>
              <w:jc w:val="left"/>
              <w:rPr>
                <w:rFonts w:ascii="Times New Roman;Times;serif" w:hAnsi="Times New Roman;Times;serif"/>
                <w:color w:val="000000"/>
                <w:sz w:val="18"/>
              </w:rPr>
            </w:pPr>
            <w:r>
              <w:rPr>
                <w:rFonts w:ascii="Times New Roman;Times;serif" w:hAnsi="Times New Roman;Times;serif"/>
                <w:color w:val="000000"/>
                <w:sz w:val="18"/>
              </w:rPr>
              <w:t>Approves base salary changes and target incentive opportunities for executive officers (and recommends to the Board for the CEO)</w:t>
            </w:r>
          </w:p>
          <w:p>
            <w:pPr>
              <w:pStyle w:val="TableContents"/>
              <w:bidi w:val="0"/>
              <w:spacing w:before="60" w:after="283"/>
              <w:ind w:left="35" w:right="0" w:hanging="0"/>
              <w:jc w:val="left"/>
              <w:rPr>
                <w:color w:val="000000"/>
              </w:rPr>
            </w:pPr>
            <w:r>
              <w:rPr>
                <w:color w:val="000000"/>
              </w:rPr>
              <w:t>⯀ </w:t>
            </w:r>
            <w:r>
              <w:rPr>
                <w:rFonts w:ascii="Times New Roman;Times;serif" w:hAnsi="Times New Roman;Times;serif"/>
                <w:color w:val="000000"/>
                <w:sz w:val="18"/>
              </w:rPr>
              <w:t>Approves equity-based awards</w:t>
            </w:r>
          </w:p>
          <w:p>
            <w:pPr>
              <w:pStyle w:val="TableContents"/>
              <w:bidi w:val="0"/>
              <w:spacing w:before="60" w:after="283"/>
              <w:ind w:left="35" w:right="0" w:hanging="0"/>
              <w:jc w:val="left"/>
              <w:rPr>
                <w:color w:val="000000"/>
              </w:rPr>
            </w:pPr>
            <w:r>
              <w:rPr>
                <w:color w:val="000000"/>
              </w:rPr>
              <w:t>⯀ </w:t>
            </w:r>
            <w:r>
              <w:rPr>
                <w:rFonts w:ascii="Times New Roman;Times;serif" w:hAnsi="Times New Roman;Times;serif"/>
                <w:color w:val="000000"/>
                <w:sz w:val="18"/>
              </w:rPr>
              <w:t xml:space="preserve">Evaluates CEO performance </w:t>
            </w:r>
          </w:p>
          <w:p>
            <w:pPr>
              <w:pStyle w:val="TableContents"/>
              <w:bidi w:val="0"/>
              <w:spacing w:before="6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The Board is responsible for the following:</w:t>
            </w:r>
          </w:p>
          <w:p>
            <w:pPr>
              <w:pStyle w:val="TableContents"/>
              <w:bidi w:val="0"/>
              <w:spacing w:before="60" w:after="283"/>
              <w:ind w:left="35" w:right="0" w:hanging="0"/>
              <w:jc w:val="left"/>
              <w:rPr>
                <w:color w:val="000000"/>
              </w:rPr>
            </w:pPr>
            <w:r>
              <w:rPr>
                <w:color w:val="000000"/>
              </w:rPr>
              <w:t>⯀ </w:t>
            </w:r>
            <w:r>
              <w:rPr>
                <w:rFonts w:ascii="Times New Roman;Times;serif" w:hAnsi="Times New Roman;Times;serif"/>
                <w:color w:val="000000"/>
                <w:sz w:val="18"/>
              </w:rPr>
              <w:t>Approves base salary increases and other compensation elements for the CEO</w:t>
            </w:r>
          </w:p>
          <w:p>
            <w:pPr>
              <w:pStyle w:val="TableContents"/>
              <w:bidi w:val="0"/>
              <w:spacing w:before="60" w:after="283"/>
              <w:ind w:left="35" w:right="0" w:hanging="0"/>
              <w:jc w:val="left"/>
              <w:rPr>
                <w:color w:val="000000"/>
              </w:rPr>
            </w:pPr>
            <w:r>
              <w:rPr>
                <w:color w:val="000000"/>
              </w:rPr>
              <w:t>⯀ </w:t>
            </w:r>
          </w:p>
          <w:p>
            <w:pPr>
              <w:pStyle w:val="TableContents"/>
              <w:bidi w:val="0"/>
              <w:spacing w:before="60" w:after="283"/>
              <w:jc w:val="left"/>
              <w:rPr>
                <w:rFonts w:ascii="Times New Roman;Times;serif" w:hAnsi="Times New Roman;Times;serif"/>
                <w:color w:val="000000"/>
                <w:sz w:val="18"/>
              </w:rPr>
            </w:pPr>
            <w:r>
              <w:rPr>
                <w:rFonts w:ascii="Times New Roman;Times;serif" w:hAnsi="Times New Roman;Times;serif"/>
                <w:color w:val="000000"/>
                <w:sz w:val="18"/>
              </w:rPr>
              <w:t>Approves the Company’s Operating Plan, prepared and recommended by management, which contains strategic business and financial objectives used to inform the incentive plan performance goals</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740" w:type="dxa"/>
        <w:jc w:val="left"/>
        <w:tblInd w:w="0" w:type="dxa"/>
        <w:tblLayout w:type="fixed"/>
        <w:tblCellMar>
          <w:top w:w="0" w:type="dxa"/>
          <w:left w:w="0" w:type="dxa"/>
          <w:bottom w:w="0" w:type="dxa"/>
          <w:right w:w="0" w:type="dxa"/>
        </w:tblCellMar>
      </w:tblPr>
      <w:tblGrid>
        <w:gridCol w:w="185"/>
        <w:gridCol w:w="170"/>
        <w:gridCol w:w="170"/>
        <w:gridCol w:w="2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center"/>
              <w:rPr>
                <w:color w:val="000000"/>
              </w:rPr>
            </w:pPr>
            <w:r>
              <w:rPr>
                <w:color w:val="000000"/>
              </w:rPr>
              <w:t>↑</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2974"/>
        <w:gridCol w:w="170"/>
        <w:gridCol w:w="170"/>
        <w:gridCol w:w="6490"/>
        <w:gridCol w:w="216"/>
      </w:tblGrid>
      <w:tr>
        <w:trPr/>
        <w:tc>
          <w:tcPr>
            <w:tcW w:w="185" w:type="dxa"/>
            <w:tcBorders/>
            <w:vAlign w:val="center"/>
          </w:tcPr>
          <w:p>
            <w:pPr>
              <w:pStyle w:val="TableContents"/>
              <w:bidi w:val="0"/>
              <w:spacing w:before="0" w:after="0"/>
              <w:jc w:val="left"/>
              <w:rPr/>
            </w:pPr>
            <w:r>
              <w:rPr/>
              <w:t> </w:t>
            </w:r>
          </w:p>
        </w:tc>
        <w:tc>
          <w:tcPr>
            <w:tcW w:w="2974"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74"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Independent Compensation Consultant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49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CEO/Management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74" w:type="dxa"/>
            <w:tcBorders/>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For 2026 fiscal year compensation decisions and activities, the Committee engaged Pearl Meyer &amp; Partners, LLC as its independent compensation consultant.</w:t>
            </w:r>
          </w:p>
          <w:p>
            <w:pPr>
              <w:pStyle w:val="TableContents"/>
              <w:bidi w:val="0"/>
              <w:spacing w:before="0" w:after="283"/>
              <w:ind w:left="35" w:right="0" w:hanging="0"/>
              <w:jc w:val="left"/>
              <w:rPr>
                <w:color w:val="000000"/>
              </w:rPr>
            </w:pPr>
            <w:r>
              <w:rPr>
                <w:color w:val="000000"/>
              </w:rPr>
              <w:t> </w:t>
            </w:r>
          </w:p>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The consultant attended all Committee meetings and advised it on, among other things, the following:</w:t>
            </w:r>
          </w:p>
          <w:p>
            <w:pPr>
              <w:pStyle w:val="TableContents"/>
              <w:bidi w:val="0"/>
              <w:spacing w:before="120" w:after="283"/>
              <w:ind w:left="35" w:right="0" w:hanging="0"/>
              <w:jc w:val="left"/>
              <w:rPr>
                <w:color w:val="000000"/>
              </w:rPr>
            </w:pPr>
            <w:r>
              <w:rPr>
                <w:color w:val="000000"/>
              </w:rPr>
              <w:t>⯀ </w:t>
            </w:r>
          </w:p>
          <w:p>
            <w:pPr>
              <w:pStyle w:val="TableContents"/>
              <w:bidi w:val="0"/>
              <w:spacing w:before="120" w:after="283"/>
              <w:jc w:val="left"/>
              <w:rPr>
                <w:rFonts w:ascii="Times New Roman;Times;serif" w:hAnsi="Times New Roman;Times;serif"/>
                <w:color w:val="000000"/>
                <w:sz w:val="18"/>
              </w:rPr>
            </w:pPr>
            <w:r>
              <w:rPr>
                <w:rFonts w:ascii="Times New Roman;Times;serif" w:hAnsi="Times New Roman;Times;serif"/>
                <w:color w:val="000000"/>
                <w:sz w:val="18"/>
              </w:rPr>
              <w:t>Incentive compensation practices, including the Company’s incentive plan structure and performance metrics</w:t>
            </w:r>
          </w:p>
          <w:p>
            <w:pPr>
              <w:pStyle w:val="TableContents"/>
              <w:bidi w:val="0"/>
              <w:spacing w:before="0" w:after="283"/>
              <w:ind w:left="35"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CEO competitive pay analysis and analysis of the alignment of the Company’s realizable pay with its performance</w:t>
            </w:r>
          </w:p>
          <w:p>
            <w:pPr>
              <w:pStyle w:val="TableContents"/>
              <w:bidi w:val="0"/>
              <w:spacing w:before="0" w:after="283"/>
              <w:ind w:left="35"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Review of compensation for non-employee directors, including the Lead Independent Director</w:t>
            </w:r>
          </w:p>
          <w:p>
            <w:pPr>
              <w:pStyle w:val="TableContents"/>
              <w:bidi w:val="0"/>
              <w:spacing w:before="0" w:after="283"/>
              <w:ind w:left="35"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Proxy advisor updates and pay-performance test estimates</w:t>
            </w:r>
          </w:p>
          <w:p>
            <w:pPr>
              <w:pStyle w:val="TableContents"/>
              <w:bidi w:val="0"/>
              <w:spacing w:before="0" w:after="283"/>
              <w:ind w:left="35"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Executive pay risk assessment</w:t>
            </w:r>
          </w:p>
          <w:p>
            <w:pPr>
              <w:pStyle w:val="TableContents"/>
              <w:bidi w:val="0"/>
              <w:spacing w:before="0" w:after="283"/>
              <w:ind w:left="35"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ESG metrics in incentive designs</w:t>
            </w:r>
          </w:p>
          <w:p>
            <w:pPr>
              <w:pStyle w:val="TableContents"/>
              <w:bidi w:val="0"/>
              <w:spacing w:before="0" w:after="283"/>
              <w:ind w:left="35"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Review of Compensation Peer Group</w:t>
            </w:r>
          </w:p>
          <w:p>
            <w:pPr>
              <w:pStyle w:val="TableContents"/>
              <w:bidi w:val="0"/>
              <w:spacing w:before="0" w:after="283"/>
              <w:ind w:left="35"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Review of the FY25 proxy statement CD&amp;A</w:t>
            </w:r>
          </w:p>
          <w:p>
            <w:pPr>
              <w:pStyle w:val="TableContents"/>
              <w:bidi w:val="0"/>
              <w:spacing w:before="0" w:after="283"/>
              <w:ind w:left="35"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 xml:space="preserve">Fair value calculations of the relative-TSR modifier/results </w:t>
            </w:r>
          </w:p>
          <w:p>
            <w:pPr>
              <w:pStyle w:val="TableContents"/>
              <w:bidi w:val="0"/>
              <w:spacing w:before="0" w:after="283"/>
              <w:ind w:left="35" w:right="0" w:hanging="0"/>
              <w:jc w:val="left"/>
              <w:rPr>
                <w:color w:val="000000"/>
              </w:rPr>
            </w:pPr>
            <w:r>
              <w:rPr>
                <w:color w:val="000000"/>
              </w:rPr>
              <w:t xml:space="preserve">  </w:t>
            </w:r>
          </w:p>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The Committee assessed the independence of Pearl Meyer &amp; Partners, LLC and did not identify any conflict of interest that would prevent it from independently advising the Committee.</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The CEO evaluates the performance of the executive officers (other than himself) and makes specific recommendations to the Committee with respect to the following:</w:t>
            </w:r>
          </w:p>
          <w:p>
            <w:pPr>
              <w:pStyle w:val="TableContents"/>
              <w:bidi w:val="0"/>
              <w:spacing w:before="60" w:after="283"/>
              <w:ind w:left="0" w:right="0" w:hanging="0"/>
              <w:jc w:val="left"/>
              <w:rPr>
                <w:color w:val="000000"/>
              </w:rPr>
            </w:pPr>
            <w:r>
              <w:rPr>
                <w:color w:val="000000"/>
              </w:rPr>
              <w:t>⯀ </w:t>
            </w:r>
          </w:p>
          <w:p>
            <w:pPr>
              <w:pStyle w:val="TableContents"/>
              <w:bidi w:val="0"/>
              <w:spacing w:before="60" w:after="283"/>
              <w:jc w:val="left"/>
              <w:rPr>
                <w:rFonts w:ascii="Times New Roman;Times;serif" w:hAnsi="Times New Roman;Times;serif"/>
                <w:color w:val="000000"/>
                <w:sz w:val="18"/>
              </w:rPr>
            </w:pPr>
            <w:r>
              <w:rPr>
                <w:rFonts w:ascii="Times New Roman;Times;serif" w:hAnsi="Times New Roman;Times;serif"/>
                <w:color w:val="000000"/>
                <w:sz w:val="18"/>
              </w:rPr>
              <w:t>Base salary increases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Changes to incentive plan structures, target percentages and goals under the incentive plans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18"/>
              </w:rPr>
            </w:pPr>
            <w:r>
              <w:rPr>
                <w:rFonts w:ascii="Times New Roman;Times;serif" w:hAnsi="Times New Roman;Times;serif"/>
                <w:color w:val="000000"/>
                <w:sz w:val="18"/>
              </w:rPr>
              <w:t>Pay packages, including salary and incentives, for executive officer candidates and new hires</w:t>
            </w:r>
          </w:p>
          <w:p>
            <w:pPr>
              <w:pStyle w:val="TableContents"/>
              <w:bidi w:val="0"/>
              <w:spacing w:before="12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The CEO is assisted in these matters by the CHRO and his team, who also receive input and analysis from the independent compensation consultant (who provides market data, benchmarking and other compensation information and analyses). The CFO and his team are also integrally involved with setting the Company’s Operating Plan, which informs the incentive plan performance goals. The CEO is not involved with recommendations as to his own compensation, which is determined by the Committee and the Board.</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74"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490"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8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3" descr=""/>
                          <pic:cNvPicPr>
                            <a:picLocks noChangeAspect="1" noChangeArrowheads="1"/>
                          </pic:cNvPicPr>
                        </pic:nvPicPr>
                        <pic:blipFill>
                          <a:blip r:embed="rId84"/>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6" w:name="ny20072699x1_def14a_109-cda_pg5"/>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 addition to performance results, management recommendations, input from the compensation consultant, and when applicable, its own judgment and experience, the Committee used the following when setting compensation and designing incentive plans for the 2026 fiscal year: </w:t>
      </w:r>
    </w:p>
    <w:p>
      <w:pPr>
        <w:pStyle w:val="TextBody"/>
        <w:bidi w:val="0"/>
        <w:spacing w:before="290" w:after="283"/>
        <w:ind w:left="0" w:right="0" w:hanging="0"/>
        <w:jc w:val="left"/>
        <w:rPr>
          <w:rFonts w:ascii="Times New Roman;Times;serif" w:hAnsi="Times New Roman;Times;serif"/>
          <w:b/>
          <w:color w:val="000000"/>
          <w:sz w:val="19"/>
        </w:rPr>
      </w:pPr>
      <w:bookmarkStart w:id="77" w:name="tUPG"/>
      <w:bookmarkEnd w:id="77"/>
      <w:r>
        <w:rPr>
          <w:rFonts w:ascii="Times New Roman;Times;serif" w:hAnsi="Times New Roman;Times;serif"/>
          <w:b/>
          <w:color w:val="000000"/>
          <w:sz w:val="19"/>
          <w:u w:val="single"/>
        </w:rPr>
        <w:t>Use of Peer Groups</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Compensation</w:t>
      </w:r>
      <w:r>
        <w:rPr>
          <w:rFonts w:ascii="Times New Roman;Times;serif" w:hAnsi="Times New Roman;Times;serif"/>
          <w:b w:val="false"/>
          <w:color w:val="000000"/>
          <w:sz w:val="19"/>
        </w:rPr>
        <w:t xml:space="preserve">: The following 19-company peer group was used to inform certain 2026 fiscal year compensation decisions, including those related to base salaries, annual and long-term incentive structure and metrics and other market-based comparisons (the “Compensation Peer Group”): </w:t>
      </w:r>
    </w:p>
    <w:tbl>
      <w:tblPr>
        <w:tblW w:w="8205" w:type="dxa"/>
        <w:jc w:val="left"/>
        <w:tblInd w:w="0" w:type="dxa"/>
        <w:tblLayout w:type="fixed"/>
        <w:tblCellMar>
          <w:top w:w="0" w:type="dxa"/>
          <w:left w:w="0" w:type="dxa"/>
          <w:bottom w:w="0" w:type="dxa"/>
          <w:right w:w="0" w:type="dxa"/>
        </w:tblCellMar>
      </w:tblPr>
      <w:tblGrid>
        <w:gridCol w:w="185"/>
        <w:gridCol w:w="2615"/>
        <w:gridCol w:w="170"/>
        <w:gridCol w:w="170"/>
        <w:gridCol w:w="2360"/>
        <w:gridCol w:w="170"/>
        <w:gridCol w:w="170"/>
        <w:gridCol w:w="2150"/>
        <w:gridCol w:w="215"/>
      </w:tblGrid>
      <w:tr>
        <w:trPr/>
        <w:tc>
          <w:tcPr>
            <w:tcW w:w="185" w:type="dxa"/>
            <w:tcBorders/>
            <w:shd w:fill="D9D9D9" w:val="clear"/>
            <w:vAlign w:val="center"/>
          </w:tcPr>
          <w:p>
            <w:pPr>
              <w:pStyle w:val="TableContents"/>
              <w:bidi w:val="0"/>
              <w:spacing w:before="0" w:after="0"/>
              <w:jc w:val="left"/>
              <w:rPr/>
            </w:pPr>
            <w:r>
              <w:rPr/>
              <w:t> </w:t>
            </w:r>
          </w:p>
        </w:tc>
        <w:tc>
          <w:tcPr>
            <w:tcW w:w="7805" w:type="dxa"/>
            <w:gridSpan w:val="7"/>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7805" w:type="dxa"/>
            <w:gridSpan w:val="7"/>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Compensation Peer Group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1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Advance Auto Parts, Inc.</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AutoZone, Inc.</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BJ’s Wholesale Club Holdings, Inc.</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Chipotle Mexican Grill, Inc.</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Darden Restaurants, Inc.</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Dollar General Corp.</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Dollar Tree, Inc.</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Domino’s Pizza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Genuine Parts Co.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Murphy USA, Inc.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O’Reilly Automotive, Inc.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Restaurants Brands International</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SpartanNash Co.</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Sprouts Farmers Market, Inc.</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Sunoco LP</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Tractor Supply Co.</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United Natural Foods, Inc.</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US Foods Holding Corp.</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Yum! Brands, Inc.</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61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6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5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Factors used in establishing the Compensation Peer Group, which was done during the 2025 fiscal year and reviewed by the Committee again during the 2026 fiscal year, included evaluating companies that operate in a similar business (retail, convenience, multi-outlet) or provide similar products (fuel, prepared foods, alcohol, groceries and other merchandise) and those that reflect the Company’s size and scale, including with respect to revenue (the 50th percentile in revenue at the time of the 2025 fiscal year review was approximately $14.9 billion), market cap, assets, invested capital, employees, and the Company’s performance including EBITDA and EBITDA margins, market cap to revenue, and market cap to EBITDA.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In September 2025, as part of the Committee’s regular review of its peer groups, which included recommendations from Pearl Meyer, the Committee evaluated potential changes to the composition of the peer group. After considering relevant factors noted above, the Committee elected not to make any changes and retained the existing peer group, concluding that it continues to be both industry-relevant and appropriately aligned with the Company’s size and operational profile (the 50</w:t>
      </w:r>
      <w:r>
        <w:rPr>
          <w:rFonts w:ascii="Times New Roman;Times;serif" w:hAnsi="Times New Roman;Times;serif"/>
          <w:color w:val="000000"/>
          <w:position w:val="6"/>
          <w:sz w:val="15"/>
          <w:sz w:val="19"/>
        </w:rPr>
        <w:t>th</w:t>
      </w:r>
      <w:r>
        <w:rPr>
          <w:rFonts w:ascii="Times New Roman;Times;serif" w:hAnsi="Times New Roman;Times;serif"/>
          <w:color w:val="000000"/>
          <w:sz w:val="19"/>
        </w:rPr>
        <w:t xml:space="preserve"> percentile in revenue at the time of the 2026 fiscal year review was approximately $17.1 billion).</w:t>
      </w:r>
    </w:p>
    <w:p>
      <w:pPr>
        <w:pStyle w:val="TextBody"/>
        <w:bidi w:val="0"/>
        <w:spacing w:before="18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TSR Performance</w:t>
      </w:r>
      <w:r>
        <w:rPr>
          <w:rFonts w:ascii="Times New Roman;Times;serif" w:hAnsi="Times New Roman;Times;serif"/>
          <w:b w:val="false"/>
          <w:color w:val="000000"/>
          <w:sz w:val="19"/>
        </w:rPr>
        <w:t xml:space="preserve">: The Committee also includes relative TSR as a PSU payout modifier (i.e. if the Company ranks in the bottom quartile of the performance-related peer group, the number of PSUs actually awarded will be reduced by 25%; if the Company ranks in the top quartile, the number of PSUs actually awarded will be increased by 25%). In conjunction therewith, the Committee utilizes a performance-related peer group for the TSR modifier that consists of the companies in the S&amp;P 500 (excluding the Company) at the end of each three-year performance period (the “TSR Modifier Peer Group”). </w:t>
      </w:r>
    </w:p>
    <w:p>
      <w:pPr>
        <w:pStyle w:val="TextBody"/>
        <w:bidi w:val="0"/>
        <w:spacing w:before="290" w:after="283"/>
        <w:ind w:left="0" w:right="0" w:hanging="0"/>
        <w:jc w:val="left"/>
        <w:rPr>
          <w:rFonts w:ascii="Times New Roman;Times;serif" w:hAnsi="Times New Roman;Times;serif"/>
          <w:b/>
          <w:color w:val="000000"/>
          <w:sz w:val="19"/>
        </w:rPr>
      </w:pPr>
      <w:bookmarkStart w:id="78" w:name="tCCA"/>
      <w:bookmarkEnd w:id="78"/>
      <w:r>
        <w:rPr>
          <w:rFonts w:ascii="Times New Roman;Times;serif" w:hAnsi="Times New Roman;Times;serif"/>
          <w:b/>
          <w:color w:val="000000"/>
          <w:sz w:val="19"/>
          <w:u w:val="single"/>
        </w:rPr>
        <w:t>Competitive Compensation Analysis</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To attract and retain talented executives, the Committee believes it is important to provide market competitive compensation, and as a result, annually reviews the competitiveness of the executive compensation program. As part of the review, the Committee, with the assistance of its independent compensation consultant, considers a variety of information including the Compensation Peer Group and related survey data, industry benchmark data and recommendations from management and its compensation consultant. From the review, the Committee generally seeks to set target total direct compensation that is within a reasonable range of the market median at the time compensation is set.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While the Committee relies on such review and data to inform its determinations with respect to each element of compensation, it does not consider such data as dispositive in evaluating appropriate compensation for any individual executive. Accordingly, the Committee has not set a formal “benchmark” to such data for any executive officer, other than as a general goal set forth above, and considers several other factors when setting compensation, including the executive’s individual performance and responsibilities, skill sets and experience, length of service, location, retention and the overall performance of the Company.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8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4" descr=""/>
                          <pic:cNvPicPr>
                            <a:picLocks noChangeAspect="1" noChangeArrowheads="1"/>
                          </pic:cNvPicPr>
                        </pic:nvPicPr>
                        <pic:blipFill>
                          <a:blip r:embed="rId85"/>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9" w:name="ny20072699x1_def14a_109-cda_pg6"/>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Times New Roman;Times;serif" w:hAnsi="Times New Roman;Times;serif"/>
          <w:b/>
          <w:color w:val="000000"/>
          <w:sz w:val="19"/>
        </w:rPr>
      </w:pPr>
      <w:bookmarkStart w:id="80" w:name="tCSPV"/>
      <w:bookmarkEnd w:id="80"/>
      <w:r>
        <w:rPr>
          <w:rFonts w:ascii="Times New Roman;Times;serif" w:hAnsi="Times New Roman;Times;serif"/>
          <w:b/>
          <w:color w:val="000000"/>
          <w:sz w:val="19"/>
          <w:u w:val="single"/>
        </w:rPr>
        <w:t>Consideration of Say-on-Pay Vote</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 evaluating the Company’s executive compensation program, the Committee also considered the results of the advisory vote on the say-on-pay proposal presented at the 2025 annual shareholders’ meeting, which, as noted below, received the support of 98% of the votes cast. The Committee views the outcome as evidence of shareholder support of our executive compensation decisions and policies. The Committee will continue to review say-on-pay votes and consider whether any additional changes to the program are warranted in light of the voting results, which for the past three years have been the following: </w:t>
      </w:r>
    </w:p>
    <w:tbl>
      <w:tblPr>
        <w:tblW w:w="5955" w:type="dxa"/>
        <w:jc w:val="left"/>
        <w:tblInd w:w="0" w:type="dxa"/>
        <w:tblLayout w:type="fixed"/>
        <w:tblCellMar>
          <w:top w:w="0" w:type="dxa"/>
          <w:left w:w="0" w:type="dxa"/>
          <w:bottom w:w="0" w:type="dxa"/>
          <w:right w:w="0" w:type="dxa"/>
        </w:tblCellMar>
      </w:tblPr>
      <w:tblGrid>
        <w:gridCol w:w="185"/>
        <w:gridCol w:w="1610"/>
        <w:gridCol w:w="170"/>
        <w:gridCol w:w="170"/>
        <w:gridCol w:w="1610"/>
        <w:gridCol w:w="170"/>
        <w:gridCol w:w="170"/>
        <w:gridCol w:w="1655"/>
        <w:gridCol w:w="215"/>
      </w:tblGrid>
      <w:tr>
        <w:trPr/>
        <w:tc>
          <w:tcPr>
            <w:tcW w:w="185" w:type="dxa"/>
            <w:tcBorders/>
            <w:shd w:fill="D9D9D9" w:val="clear"/>
            <w:vAlign w:val="center"/>
          </w:tcPr>
          <w:p>
            <w:pPr>
              <w:pStyle w:val="TableContents"/>
              <w:bidi w:val="0"/>
              <w:spacing w:before="0" w:after="0"/>
              <w:jc w:val="left"/>
              <w:rPr/>
            </w:pPr>
            <w:r>
              <w:rPr/>
              <w:t> </w:t>
            </w:r>
          </w:p>
        </w:tc>
        <w:tc>
          <w:tcPr>
            <w:tcW w:w="5555" w:type="dxa"/>
            <w:gridSpan w:val="7"/>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555" w:type="dxa"/>
            <w:gridSpan w:val="7"/>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Say-on-Pay Vote Results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1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2023 Annual Meeting</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1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2024 Annual Meeting</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5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2025 Annual Meeting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97.6%</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97.9%</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98%</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1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1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5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8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5" descr=""/>
                          <pic:cNvPicPr>
                            <a:picLocks noChangeAspect="1" noChangeArrowheads="1"/>
                          </pic:cNvPicPr>
                        </pic:nvPicPr>
                        <pic:blipFill>
                          <a:blip r:embed="rId86"/>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1" w:name="ny20072699x1_def14a_109-cda_pg7"/>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bookmarkStart w:id="82" w:name="tCPE"/>
      <w:bookmarkEnd w:id="82"/>
      <w:r>
        <w:rPr>
          <w:rFonts w:ascii="Times New Roman;Times;serif" w:hAnsi="Times New Roman;Times;serif"/>
          <w:b/>
          <w:color w:val="000000"/>
          <w:sz w:val="20"/>
          <w:u w:val="single"/>
        </w:rPr>
        <w:t xml:space="preserve">COMPENSATION PROGRAM ELEMENTS </w:t>
      </w:r>
    </w:p>
    <w:p>
      <w:pPr>
        <w:pStyle w:val="TextBody"/>
        <w:bidi w:val="0"/>
        <w:spacing w:before="21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Our compensation program for the 2026 fiscal year had four primary components: </w:t>
      </w:r>
    </w:p>
    <w:tbl>
      <w:tblPr>
        <w:tblW w:w="10205" w:type="dxa"/>
        <w:jc w:val="left"/>
        <w:tblInd w:w="0" w:type="dxa"/>
        <w:tblLayout w:type="fixed"/>
        <w:tblCellMar>
          <w:top w:w="0" w:type="dxa"/>
          <w:left w:w="0" w:type="dxa"/>
          <w:bottom w:w="0" w:type="dxa"/>
          <w:right w:w="0" w:type="dxa"/>
        </w:tblCellMar>
      </w:tblPr>
      <w:tblGrid>
        <w:gridCol w:w="185"/>
        <w:gridCol w:w="887"/>
        <w:gridCol w:w="170"/>
        <w:gridCol w:w="170"/>
        <w:gridCol w:w="2951"/>
        <w:gridCol w:w="170"/>
        <w:gridCol w:w="170"/>
        <w:gridCol w:w="3205"/>
        <w:gridCol w:w="170"/>
        <w:gridCol w:w="170"/>
        <w:gridCol w:w="1740"/>
        <w:gridCol w:w="217"/>
      </w:tblGrid>
      <w:tr>
        <w:trPr/>
        <w:tc>
          <w:tcPr>
            <w:tcW w:w="185" w:type="dxa"/>
            <w:tcBorders/>
            <w:shd w:fill="D9D9D9" w:val="clear"/>
            <w:vAlign w:val="center"/>
          </w:tcPr>
          <w:p>
            <w:pPr>
              <w:pStyle w:val="TableContents"/>
              <w:bidi w:val="0"/>
              <w:spacing w:before="0" w:after="0"/>
              <w:jc w:val="left"/>
              <w:rPr/>
            </w:pPr>
            <w:r>
              <w:rPr/>
              <w:t> </w:t>
            </w:r>
          </w:p>
        </w:tc>
        <w:tc>
          <w:tcPr>
            <w:tcW w:w="9803" w:type="dxa"/>
            <w:gridSpan w:val="10"/>
            <w:tcBorders/>
            <w:shd w:fill="D9D9D9" w:val="clear"/>
            <w:vAlign w:val="center"/>
          </w:tcPr>
          <w:p>
            <w:pPr>
              <w:pStyle w:val="TableContents"/>
              <w:bidi w:val="0"/>
              <w:spacing w:before="0" w:after="0"/>
              <w:jc w:val="left"/>
              <w:rPr/>
            </w:pPr>
            <w:r>
              <w:rPr/>
              <w:t>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3" w:type="dxa"/>
            <w:gridSpan w:val="10"/>
            <w:tcBorders>
              <w:bottom w:val="single" w:sz="8" w:space="0" w:color="000000"/>
            </w:tcBorders>
            <w:shd w:fill="D9D9D9" w:val="clear"/>
            <w:tcMar>
              <w:bottom w:w="40"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Executive Compensation Elements </w:t>
            </w:r>
          </w:p>
        </w:tc>
        <w:tc>
          <w:tcPr>
            <w:tcW w:w="217"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Base Salary</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51"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Annual Incentive Compensation Program</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Long-Term Incentive Compensation Program</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Benefits and Perquisites</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87"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951"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20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40" w:type="dxa"/>
            <w:tcBorders>
              <w:bottom w:val="single" w:sz="8" w:space="0" w:color="000000"/>
            </w:tcBorders>
            <w:tcMar>
              <w:bottom w:w="28" w:type="dxa"/>
            </w:tcMar>
            <w:vAlign w:val="center"/>
          </w:tcPr>
          <w:p>
            <w:pPr>
              <w:pStyle w:val="TableContents"/>
              <w:bidi w:val="0"/>
              <w:spacing w:before="0" w:after="0"/>
              <w:jc w:val="left"/>
              <w:rPr/>
            </w:pPr>
            <w:r>
              <w:rPr/>
              <w:t>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30" w:after="283"/>
        <w:ind w:left="0" w:right="0" w:hanging="0"/>
        <w:jc w:val="left"/>
        <w:rPr>
          <w:rFonts w:ascii="Times New Roman;Times;serif" w:hAnsi="Times New Roman;Times;serif"/>
          <w:b/>
          <w:color w:val="000000"/>
          <w:sz w:val="19"/>
        </w:rPr>
      </w:pPr>
      <w:bookmarkStart w:id="83" w:name="tOPM"/>
      <w:bookmarkEnd w:id="83"/>
      <w:r>
        <w:rPr>
          <w:rFonts w:ascii="Times New Roman;Times;serif" w:hAnsi="Times New Roman;Times;serif"/>
          <w:b/>
          <w:color w:val="000000"/>
          <w:sz w:val="19"/>
          <w:u w:val="single"/>
        </w:rPr>
        <w:t>Overall Pay Mix for NEOs</w:t>
      </w:r>
      <w:r>
        <w:rPr>
          <w:rFonts w:ascii="Times New Roman;Times;serif" w:hAnsi="Times New Roman;Times;serif"/>
          <w:b/>
          <w:color w:val="000000"/>
          <w:sz w:val="19"/>
        </w:rPr>
        <w:t xml:space="preserve"> </w:t>
      </w:r>
    </w:p>
    <w:p>
      <w:pPr>
        <w:pStyle w:val="TextBody"/>
        <w:bidi w:val="0"/>
        <w:spacing w:lineRule="atLeast" w:line="234" w:before="1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 significant portion of each NEO’s compensation is performance-based and at-risk, with the only fixed compensation during the 2026 fiscal year being base salary (excluding benefits). The following illustrates the current mix of incentive-based/at-risk compensation, at target, compared to base salary, for the 2026 fiscal year for our CEO and the average of the other NEOs: </w:t>
      </w:r>
    </w:p>
    <w:p>
      <w:pPr>
        <w:pStyle w:val="TextBody"/>
        <w:bidi w:val="0"/>
        <w:spacing w:before="204"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 xml:space="preserve">FY26 Target Direct Comp. Mix (CEO) – </w:t>
      </w:r>
      <w:r>
        <w:rPr>
          <w:rFonts w:ascii="Times New Roman;Times;serif" w:hAnsi="Times New Roman;Times;serif"/>
          <w:b/>
          <w:color w:val="000000"/>
          <w:sz w:val="19"/>
          <w:u w:val="single"/>
        </w:rPr>
        <w:t>89% at-risk</w:t>
      </w:r>
      <w:r>
        <w:rPr>
          <w:rFonts w:ascii="Times New Roman;Times;serif" w:hAnsi="Times New Roman;Times;serif"/>
          <w:b/>
          <w:color w:val="000000"/>
          <w:sz w:val="19"/>
        </w:rPr>
        <w:t xml:space="preserve">: </w:t>
      </w:r>
    </w:p>
    <w:tbl>
      <w:tblPr>
        <w:tblW w:w="2355" w:type="dxa"/>
        <w:jc w:val="left"/>
        <w:tblInd w:w="0" w:type="dxa"/>
        <w:tblLayout w:type="fixed"/>
        <w:tblCellMar>
          <w:top w:w="0" w:type="dxa"/>
          <w:left w:w="0" w:type="dxa"/>
          <w:bottom w:w="0" w:type="dxa"/>
          <w:right w:w="0" w:type="dxa"/>
        </w:tblCellMar>
      </w:tblPr>
      <w:tblGrid>
        <w:gridCol w:w="185"/>
        <w:gridCol w:w="380"/>
        <w:gridCol w:w="170"/>
        <w:gridCol w:w="170"/>
        <w:gridCol w:w="380"/>
        <w:gridCol w:w="170"/>
        <w:gridCol w:w="170"/>
        <w:gridCol w:w="515"/>
        <w:gridCol w:w="215"/>
      </w:tblGrid>
      <w:tr>
        <w:trPr/>
        <w:tc>
          <w:tcPr>
            <w:tcW w:w="185"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8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Sal.</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AIP</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LTIP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380" w:type="dxa"/>
            <w:tcBorders/>
            <w:shd w:fill="F2F2F2"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11%</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80" w:type="dxa"/>
            <w:tcBorders/>
            <w:shd w:fill="D9D9D9"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16%</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shd w:fill="BFBFBF" w:val="clear"/>
            <w:vAlign w:val="center"/>
          </w:tcPr>
          <w:p>
            <w:pPr>
              <w:pStyle w:val="TableContents"/>
              <w:bidi w:val="0"/>
              <w:spacing w:before="0" w:after="0"/>
              <w:jc w:val="left"/>
              <w:rPr/>
            </w:pPr>
            <w:r>
              <w:rPr/>
              <w:t> </w:t>
            </w:r>
          </w:p>
        </w:tc>
        <w:tc>
          <w:tcPr>
            <w:tcW w:w="515" w:type="dxa"/>
            <w:tcBorders/>
            <w:shd w:fill="BFBFB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73%</w:t>
            </w:r>
          </w:p>
        </w:tc>
        <w:tc>
          <w:tcPr>
            <w:tcW w:w="215" w:type="dxa"/>
            <w:tcBorders/>
            <w:shd w:fill="BFBFBF"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8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38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BFBFB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BFBFBF"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BFBFBF" w:val="clear"/>
            <w:tcMar>
              <w:bottom w:w="28" w:type="dxa"/>
            </w:tcMar>
            <w:vAlign w:val="center"/>
          </w:tcPr>
          <w:p>
            <w:pPr>
              <w:pStyle w:val="TableContents"/>
              <w:bidi w:val="0"/>
              <w:spacing w:before="0" w:after="0"/>
              <w:jc w:val="left"/>
              <w:rPr/>
            </w:pPr>
            <w:r>
              <w:rPr/>
              <w:t> </w:t>
            </w:r>
          </w:p>
        </w:tc>
      </w:tr>
    </w:tbl>
    <w:p>
      <w:pPr>
        <w:pStyle w:val="TextBody"/>
        <w:bidi w:val="0"/>
        <w:spacing w:before="17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 xml:space="preserve">FY26 Target Direct Comp. Mix (average of other NEOs) – </w:t>
      </w:r>
      <w:r>
        <w:rPr>
          <w:rFonts w:ascii="Times New Roman;Times;serif" w:hAnsi="Times New Roman;Times;serif"/>
          <w:b/>
          <w:color w:val="000000"/>
          <w:sz w:val="19"/>
          <w:u w:val="single"/>
        </w:rPr>
        <w:t>80% at-risk</w:t>
      </w:r>
      <w:r>
        <w:rPr>
          <w:rFonts w:ascii="Times New Roman;Times;serif" w:hAnsi="Times New Roman;Times;serif"/>
          <w:b/>
          <w:color w:val="000000"/>
          <w:sz w:val="19"/>
        </w:rPr>
        <w:t xml:space="preserve">: </w:t>
      </w:r>
    </w:p>
    <w:tbl>
      <w:tblPr>
        <w:tblW w:w="2355" w:type="dxa"/>
        <w:jc w:val="left"/>
        <w:tblInd w:w="0" w:type="dxa"/>
        <w:tblLayout w:type="fixed"/>
        <w:tblCellMar>
          <w:top w:w="0" w:type="dxa"/>
          <w:left w:w="0" w:type="dxa"/>
          <w:bottom w:w="0" w:type="dxa"/>
          <w:right w:w="0" w:type="dxa"/>
        </w:tblCellMar>
      </w:tblPr>
      <w:tblGrid>
        <w:gridCol w:w="185"/>
        <w:gridCol w:w="380"/>
        <w:gridCol w:w="170"/>
        <w:gridCol w:w="170"/>
        <w:gridCol w:w="380"/>
        <w:gridCol w:w="170"/>
        <w:gridCol w:w="170"/>
        <w:gridCol w:w="515"/>
        <w:gridCol w:w="215"/>
      </w:tblGrid>
      <w:tr>
        <w:trPr/>
        <w:tc>
          <w:tcPr>
            <w:tcW w:w="185"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8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Sal.</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8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AIP</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LTIP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380" w:type="dxa"/>
            <w:tcBorders/>
            <w:shd w:fill="F2F2F2"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20%</w:t>
            </w:r>
          </w:p>
        </w:tc>
        <w:tc>
          <w:tcPr>
            <w:tcW w:w="170" w:type="dxa"/>
            <w:tcBorders>
              <w:right w:val="single" w:sz="8" w:space="0" w:color="000000"/>
            </w:tcBorders>
            <w:shd w:fill="F2F2F2" w:val="clear"/>
            <w:tcMar>
              <w:right w:w="28" w:type="dxa"/>
            </w:tcM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80" w:type="dxa"/>
            <w:tcBorders/>
            <w:shd w:fill="D9D9D9"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18%</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shd w:fill="BFBFBF" w:val="clear"/>
            <w:vAlign w:val="center"/>
          </w:tcPr>
          <w:p>
            <w:pPr>
              <w:pStyle w:val="TableContents"/>
              <w:bidi w:val="0"/>
              <w:spacing w:before="0" w:after="0"/>
              <w:jc w:val="left"/>
              <w:rPr/>
            </w:pPr>
            <w:r>
              <w:rPr/>
              <w:t> </w:t>
            </w:r>
          </w:p>
        </w:tc>
        <w:tc>
          <w:tcPr>
            <w:tcW w:w="515" w:type="dxa"/>
            <w:tcBorders/>
            <w:shd w:fill="BFBFB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62%</w:t>
            </w:r>
          </w:p>
        </w:tc>
        <w:tc>
          <w:tcPr>
            <w:tcW w:w="215" w:type="dxa"/>
            <w:tcBorders/>
            <w:shd w:fill="BFBFBF" w:val="clear"/>
            <w:vAlign w:val="center"/>
          </w:tcPr>
          <w:p>
            <w:pPr>
              <w:pStyle w:val="TableContents"/>
              <w:bidi w:val="0"/>
              <w:spacing w:before="0" w:after="0"/>
              <w:jc w:val="left"/>
              <w:rPr/>
            </w:pPr>
            <w:r>
              <w:rPr/>
              <w:t> </w:t>
            </w:r>
          </w:p>
        </w:tc>
      </w:tr>
      <w:tr>
        <w:trPr/>
        <w:tc>
          <w:tcPr>
            <w:tcW w:w="185"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8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38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BFBFB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BFBFBF"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BFBFBF" w:val="clear"/>
            <w:tcMar>
              <w:bottom w:w="28" w:type="dxa"/>
            </w:tcMar>
            <w:vAlign w:val="center"/>
          </w:tcPr>
          <w:p>
            <w:pPr>
              <w:pStyle w:val="TableContents"/>
              <w:bidi w:val="0"/>
              <w:spacing w:before="0" w:after="0"/>
              <w:jc w:val="left"/>
              <w:rPr/>
            </w:pPr>
            <w:r>
              <w:rPr/>
              <w:t> </w:t>
            </w:r>
          </w:p>
        </w:tc>
      </w:tr>
    </w:tbl>
    <w:p>
      <w:pPr>
        <w:pStyle w:val="TextBody"/>
        <w:bidi w:val="0"/>
        <w:spacing w:lineRule="atLeast" w:line="234" w:before="1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While the Company does not have a prescribed pay mix that it attempts to achieve for each NEO, the Committee believes that the current mix, which is derived from our compensation philosophy and market data, appropriately balances short-term and long-term business goals and aligns the interests of our NEOs with our shareholders. </w:t>
      </w:r>
    </w:p>
    <w:p>
      <w:pPr>
        <w:pStyle w:val="TextBody"/>
        <w:bidi w:val="0"/>
        <w:spacing w:before="264"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Base Salary</w:t>
      </w:r>
      <w:r>
        <w:rPr>
          <w:rFonts w:ascii="Times New Roman;Times;serif" w:hAnsi="Times New Roman;Times;serif"/>
          <w:b/>
          <w:color w:val="000000"/>
          <w:sz w:val="19"/>
        </w:rPr>
        <w:t xml:space="preserve"> </w:t>
      </w:r>
    </w:p>
    <w:p>
      <w:pPr>
        <w:pStyle w:val="TextBody"/>
        <w:bidi w:val="0"/>
        <w:spacing w:lineRule="atLeast" w:line="234" w:before="1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Company provides competitive base salaries to the NEOs, which provides a fixed level of annual compensation commensurate with their roles and responsibilities. Base salaries are reviewed by the Committee, and as applicable the Board, on an annual basis, typically in June or in conjunction with the hiring of an executive officer. While not guaranteed, NEOs are generally eligible for an annual adjustment depending on individual and Company performance and market competitiveness. </w:t>
      </w:r>
    </w:p>
    <w:p>
      <w:pPr>
        <w:pStyle w:val="TextBody"/>
        <w:bidi w:val="0"/>
        <w:spacing w:lineRule="atLeast" w:line="234" w:before="1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Consistent with the executive compensation process discussed above, the following base salaries were provided to the NEOs for the 2026 fiscal year: </w:t>
      </w:r>
    </w:p>
    <w:tbl>
      <w:tblPr>
        <w:tblW w:w="10205" w:type="dxa"/>
        <w:jc w:val="left"/>
        <w:tblInd w:w="0" w:type="dxa"/>
        <w:tblLayout w:type="fixed"/>
        <w:tblCellMar>
          <w:top w:w="0" w:type="dxa"/>
          <w:left w:w="0" w:type="dxa"/>
          <w:bottom w:w="0" w:type="dxa"/>
          <w:right w:w="0" w:type="dxa"/>
        </w:tblCellMar>
      </w:tblPr>
      <w:tblGrid>
        <w:gridCol w:w="352"/>
        <w:gridCol w:w="170"/>
        <w:gridCol w:w="170"/>
        <w:gridCol w:w="1940"/>
        <w:gridCol w:w="170"/>
        <w:gridCol w:w="170"/>
        <w:gridCol w:w="1959"/>
        <w:gridCol w:w="170"/>
        <w:gridCol w:w="170"/>
        <w:gridCol w:w="1959"/>
        <w:gridCol w:w="170"/>
        <w:gridCol w:w="170"/>
        <w:gridCol w:w="2078"/>
        <w:gridCol w:w="170"/>
        <w:gridCol w:w="170"/>
        <w:gridCol w:w="217"/>
      </w:tblGrid>
      <w:tr>
        <w:trPr/>
        <w:tc>
          <w:tcPr>
            <w:tcW w:w="35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35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59" w:type="dxa"/>
            <w:tcBorders>
              <w:bottom w:val="single" w:sz="8" w:space="0" w:color="000000"/>
            </w:tcBorders>
            <w:tcMar>
              <w:bottom w:w="40"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59" w:type="dxa"/>
            <w:tcBorders>
              <w:bottom w:val="single" w:sz="8" w:space="0" w:color="000000"/>
            </w:tcBorders>
            <w:tcMar>
              <w:bottom w:w="40"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78" w:type="dxa"/>
            <w:tcBorders>
              <w:bottom w:val="single" w:sz="8" w:space="0" w:color="000000"/>
            </w:tcBorders>
            <w:tcMar>
              <w:bottom w:w="40"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center"/>
              <w:rPr>
                <w:color w:val="000000"/>
              </w:rPr>
            </w:pPr>
            <w:r>
              <w:rPr>
                <w:color w:val="000000"/>
              </w:rPr>
              <w:t> </w:t>
            </w:r>
          </w:p>
        </w:tc>
      </w:tr>
      <w:tr>
        <w:trPr/>
        <w:tc>
          <w:tcPr>
            <w:tcW w:w="35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40" w:type="dxa"/>
            <w:tcBorders>
              <w:bottom w:val="single" w:sz="8" w:space="0" w:color="000000"/>
            </w:tcBorders>
            <w:tcMar>
              <w:bottom w:w="40"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959" w:type="dxa"/>
            <w:tcBorders>
              <w:bottom w:val="single" w:sz="8" w:space="0" w:color="000000"/>
            </w:tcBorders>
            <w:shd w:fill="D9D9D9" w:val="clear"/>
            <w:tcMar>
              <w:bottom w:w="40"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2025 Fiscal Year Base Salary</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959" w:type="dxa"/>
            <w:tcBorders>
              <w:bottom w:val="single" w:sz="8" w:space="0" w:color="000000"/>
            </w:tcBorders>
            <w:shd w:fill="D9D9D9" w:val="clear"/>
            <w:tcMar>
              <w:bottom w:w="40"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2026 Fiscal Year Base Salary</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2078" w:type="dxa"/>
            <w:tcBorders>
              <w:bottom w:val="single" w:sz="8" w:space="0" w:color="000000"/>
            </w:tcBorders>
            <w:shd w:fill="D9D9D9" w:val="clear"/>
            <w:tcMar>
              <w:bottom w:w="40"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 Increase from 2025 to 2026 </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283"/>
              <w:jc w:val="center"/>
              <w:rPr>
                <w:color w:val="000000"/>
              </w:rPr>
            </w:pPr>
            <w:r>
              <w:rPr>
                <w:color w:val="000000"/>
              </w:rPr>
              <w:t> </w:t>
            </w:r>
          </w:p>
        </w:tc>
      </w:tr>
      <w:tr>
        <w:trPr/>
        <w:tc>
          <w:tcPr>
            <w:tcW w:w="352"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40"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Darren M. Rebelez, CEO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59"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$1,200,000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59"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$1,350,000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78"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12.5%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center"/>
              <w:rPr>
                <w:color w:val="000000"/>
              </w:rPr>
            </w:pPr>
            <w:r>
              <w:rPr>
                <w:color w:val="000000"/>
              </w:rPr>
              <w:t> </w:t>
            </w:r>
          </w:p>
        </w:tc>
      </w:tr>
      <w:tr>
        <w:trPr/>
        <w:tc>
          <w:tcPr>
            <w:tcW w:w="352"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40"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Stephen P. Bramlage, Jr., CFO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59"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$780,000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59"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$810,000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78"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3.8%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center"/>
              <w:rPr>
                <w:color w:val="000000"/>
              </w:rPr>
            </w:pPr>
            <w:r>
              <w:rPr>
                <w:color w:val="000000"/>
              </w:rPr>
              <w:t> </w:t>
            </w:r>
          </w:p>
        </w:tc>
      </w:tr>
      <w:tr>
        <w:trPr/>
        <w:tc>
          <w:tcPr>
            <w:tcW w:w="352"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40"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Ena Williams, COO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59"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$780,000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59"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$810,000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78"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3.8%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center"/>
              <w:rPr>
                <w:color w:val="000000"/>
              </w:rPr>
            </w:pPr>
            <w:r>
              <w:rPr>
                <w:color w:val="000000"/>
              </w:rPr>
              <w:t> </w:t>
            </w:r>
          </w:p>
        </w:tc>
      </w:tr>
      <w:tr>
        <w:trPr/>
        <w:tc>
          <w:tcPr>
            <w:tcW w:w="352"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40"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Thomas P. Brennan, Jr., CMO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59"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$595,000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59"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$620,000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78"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4.2%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center"/>
              <w:rPr>
                <w:color w:val="000000"/>
              </w:rPr>
            </w:pPr>
            <w:r>
              <w:rPr>
                <w:color w:val="000000"/>
              </w:rPr>
              <w:t> </w:t>
            </w:r>
          </w:p>
        </w:tc>
      </w:tr>
      <w:tr>
        <w:trPr/>
        <w:tc>
          <w:tcPr>
            <w:tcW w:w="352"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40"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Chad M. Frazell, CHRO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59"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$560,000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59"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$580,000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078"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3.6%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center"/>
              <w:rPr>
                <w:color w:val="000000"/>
              </w:rPr>
            </w:pPr>
            <w:r>
              <w:rPr>
                <w:color w:val="000000"/>
              </w:rPr>
              <w:t> </w:t>
            </w:r>
          </w:p>
        </w:tc>
      </w:tr>
      <w:tr>
        <w:trPr/>
        <w:tc>
          <w:tcPr>
            <w:tcW w:w="352"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7403" w:type="dxa"/>
            <w:gridSpan w:val="11"/>
            <w:tcBorders/>
          </w:tcPr>
          <w:p>
            <w:pPr>
              <w:pStyle w:val="TableContents"/>
              <w:bidi w:val="0"/>
              <w:spacing w:before="0" w:after="283"/>
              <w:jc w:val="left"/>
              <w:rPr>
                <w:sz w:val="4"/>
                <w:szCs w:val="4"/>
              </w:rPr>
            </w:pPr>
            <w:r>
              <w:rPr>
                <w:sz w:val="4"/>
                <w:szCs w:val="4"/>
              </w:rPr>
            </w:r>
          </w:p>
        </w:tc>
      </w:tr>
      <w:tr>
        <w:trPr/>
        <w:tc>
          <w:tcPr>
            <w:tcW w:w="35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3" w:type="dxa"/>
            <w:gridSpan w:val="11"/>
            <w:tcBorders/>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base salary for Mr. Rebelez was approximately 108% of the market median (derived by Pearl Meyer from a blend of survey and peer group data) and the base salary of the other NEOs, on average, was approximately at 103% of the market median. </w:t>
      </w:r>
    </w:p>
    <w:p>
      <w:pPr>
        <w:pStyle w:val="TextBody"/>
        <w:bidi w:val="0"/>
        <w:spacing w:before="270" w:after="283"/>
        <w:ind w:left="0" w:right="0" w:hanging="0"/>
        <w:jc w:val="left"/>
        <w:rPr>
          <w:rFonts w:ascii="Times New Roman;Times;serif" w:hAnsi="Times New Roman;Times;serif"/>
          <w:b/>
          <w:color w:val="000000"/>
          <w:sz w:val="19"/>
        </w:rPr>
      </w:pPr>
      <w:bookmarkStart w:id="84" w:name="tAICP"/>
      <w:bookmarkEnd w:id="84"/>
      <w:r>
        <w:rPr>
          <w:rFonts w:ascii="Times New Roman;Times;serif" w:hAnsi="Times New Roman;Times;serif"/>
          <w:b/>
          <w:color w:val="000000"/>
          <w:sz w:val="19"/>
          <w:u w:val="single"/>
        </w:rPr>
        <w:t>Annual Incentive Compensation Program</w:t>
      </w:r>
      <w:r>
        <w:rPr>
          <w:rFonts w:ascii="Times New Roman;Times;serif" w:hAnsi="Times New Roman;Times;serif"/>
          <w:b/>
          <w:color w:val="000000"/>
          <w:sz w:val="19"/>
        </w:rPr>
        <w:t xml:space="preserve"> </w:t>
      </w:r>
    </w:p>
    <w:p>
      <w:pPr>
        <w:pStyle w:val="TextBody"/>
        <w:bidi w:val="0"/>
        <w:spacing w:before="1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NEOs participate in the AIP, which is at-risk performance-based pay that delivers annual cash incentives when key financial/operating goals are met or exceeded. The Committee made no material changes to the structure of the AIP during its annual review. Therefore, the AIP metrics for the 2026 fiscal year are as follows: </w:t>
      </w:r>
    </w:p>
    <w:tbl>
      <w:tblPr>
        <w:tblW w:w="4620" w:type="dxa"/>
        <w:jc w:val="left"/>
        <w:tblInd w:w="0" w:type="dxa"/>
        <w:tblLayout w:type="fixed"/>
        <w:tblCellMar>
          <w:top w:w="0" w:type="dxa"/>
          <w:left w:w="0" w:type="dxa"/>
          <w:bottom w:w="0" w:type="dxa"/>
          <w:right w:w="0" w:type="dxa"/>
        </w:tblCellMar>
      </w:tblPr>
      <w:tblGrid>
        <w:gridCol w:w="185"/>
        <w:gridCol w:w="3230"/>
        <w:gridCol w:w="170"/>
        <w:gridCol w:w="170"/>
        <w:gridCol w:w="650"/>
        <w:gridCol w:w="215"/>
      </w:tblGrid>
      <w:tr>
        <w:trPr/>
        <w:tc>
          <w:tcPr>
            <w:tcW w:w="185" w:type="dxa"/>
            <w:tcBorders/>
            <w:shd w:fill="D9D9D9" w:val="clear"/>
            <w:vAlign w:val="center"/>
          </w:tcPr>
          <w:p>
            <w:pPr>
              <w:pStyle w:val="TableContents"/>
              <w:bidi w:val="0"/>
              <w:spacing w:before="0" w:after="0"/>
              <w:jc w:val="left"/>
              <w:rPr/>
            </w:pPr>
            <w:r>
              <w:rPr/>
              <w:t> </w:t>
            </w:r>
          </w:p>
        </w:tc>
        <w:tc>
          <w:tcPr>
            <w:tcW w:w="3230"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50"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3230" w:type="dxa"/>
            <w:tcBorders>
              <w:bottom w:val="single" w:sz="8" w:space="0" w:color="000000"/>
            </w:tcBorders>
            <w:shd w:fill="D9D9D9" w:val="clear"/>
            <w:tcMar>
              <w:bottom w:w="40"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2026 AIP Metrics</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D9D9D9" w:val="clear"/>
            <w:tcMar>
              <w:bottom w:w="40"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Weight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230" w:type="dxa"/>
            <w:tcBorders>
              <w:bottom w:val="single" w:sz="8" w:space="0" w:color="000000"/>
            </w:tcBorders>
            <w:tcMar>
              <w:bottom w:w="40"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EBITDA</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60%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Same-Store Sales Growth (Inside Sales)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40%</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23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8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6" descr=""/>
                          <pic:cNvPicPr>
                            <a:picLocks noChangeAspect="1" noChangeArrowheads="1"/>
                          </pic:cNvPicPr>
                        </pic:nvPicPr>
                        <pic:blipFill>
                          <a:blip r:embed="rId87"/>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5" w:name="ny20072699x1_def14a_109-cda_pg8"/>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lineRule="atLeast" w:line="224" w:before="125"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payout at target for each NEO, which was based in-part on market and survey data reviewed by the Committee, consists of an overall payout range from 0% to 200% of target depending on performance. Below the threshold level, there is no payout. Achievement of threshold levels results in payouts of 25% of target, and achievement of maximum levels results in payouts of 200% of target: </w:t>
      </w:r>
    </w:p>
    <w:tbl>
      <w:tblPr>
        <w:tblW w:w="9002" w:type="dxa"/>
        <w:jc w:val="left"/>
        <w:tblInd w:w="0" w:type="dxa"/>
        <w:tblLayout w:type="fixed"/>
        <w:tblCellMar>
          <w:top w:w="0" w:type="dxa"/>
          <w:left w:w="0" w:type="dxa"/>
          <w:bottom w:w="0" w:type="dxa"/>
          <w:right w:w="0" w:type="dxa"/>
        </w:tblCellMar>
      </w:tblPr>
      <w:tblGrid>
        <w:gridCol w:w="365"/>
        <w:gridCol w:w="170"/>
        <w:gridCol w:w="170"/>
        <w:gridCol w:w="2255"/>
        <w:gridCol w:w="170"/>
        <w:gridCol w:w="170"/>
        <w:gridCol w:w="2315"/>
        <w:gridCol w:w="170"/>
        <w:gridCol w:w="170"/>
        <w:gridCol w:w="674"/>
        <w:gridCol w:w="176"/>
        <w:gridCol w:w="176"/>
        <w:gridCol w:w="580"/>
        <w:gridCol w:w="176"/>
        <w:gridCol w:w="176"/>
        <w:gridCol w:w="534"/>
        <w:gridCol w:w="170"/>
        <w:gridCol w:w="170"/>
        <w:gridCol w:w="215"/>
      </w:tblGrid>
      <w:tr>
        <w:trPr/>
        <w:tc>
          <w:tcPr>
            <w:tcW w:w="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4" w:type="dxa"/>
            <w:tcBorders/>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pPr>
            <w:r>
              <w:rPr/>
              <w:t> </w:t>
            </w:r>
          </w:p>
        </w:tc>
        <w:tc>
          <w:tcPr>
            <w:tcW w:w="580" w:type="dxa"/>
            <w:tcBorders/>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pPr>
            <w:r>
              <w:rPr/>
              <w:t> </w:t>
            </w:r>
          </w:p>
        </w:tc>
        <w:tc>
          <w:tcPr>
            <w:tcW w:w="5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15" w:type="dxa"/>
            <w:tcBorders>
              <w:bottom w:val="single" w:sz="8" w:space="0" w:color="000000"/>
            </w:tcBorders>
            <w:tcMar>
              <w:bottom w:w="45"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4" w:type="dxa"/>
            <w:tcBorders>
              <w:bottom w:val="single" w:sz="8" w:space="0" w:color="000000"/>
            </w:tcBorders>
            <w:tcMar>
              <w:bottom w:w="45" w:type="dxa"/>
            </w:tcMar>
            <w:vAlign w:val="center"/>
          </w:tcPr>
          <w:p>
            <w:pPr>
              <w:pStyle w:val="TableContents"/>
              <w:bidi w:val="0"/>
              <w:spacing w:before="0" w:after="0"/>
              <w:jc w:val="center"/>
              <w:rPr>
                <w:color w:val="000000"/>
              </w:rPr>
            </w:pPr>
            <w:r>
              <w:rPr>
                <w:color w:val="000000"/>
              </w:rPr>
              <w:t> </w:t>
            </w:r>
          </w:p>
        </w:tc>
        <w:tc>
          <w:tcPr>
            <w:tcW w:w="176" w:type="dxa"/>
            <w:tcBorders>
              <w:bottom w:val="single" w:sz="8" w:space="0" w:color="000000"/>
            </w:tcBorders>
            <w:tcMar>
              <w:bottom w:w="28" w:type="dxa"/>
            </w:tcMar>
            <w:vAlign w:val="center"/>
          </w:tcPr>
          <w:p>
            <w:pPr>
              <w:pStyle w:val="TableContents"/>
              <w:bidi w:val="0"/>
              <w:spacing w:before="0" w:after="0"/>
              <w:jc w:val="left"/>
              <w:rPr/>
            </w:pPr>
            <w:r>
              <w:rPr/>
              <w:t> </w:t>
            </w:r>
          </w:p>
        </w:tc>
        <w:tc>
          <w:tcPr>
            <w:tcW w:w="176" w:type="dxa"/>
            <w:tcBorders>
              <w:bottom w:val="single" w:sz="8" w:space="0" w:color="000000"/>
            </w:tcBorders>
            <w:tcMar>
              <w:bottom w:w="28" w:type="dxa"/>
            </w:tcMar>
            <w:vAlign w:val="center"/>
          </w:tcPr>
          <w:p>
            <w:pPr>
              <w:pStyle w:val="TableContents"/>
              <w:bidi w:val="0"/>
              <w:spacing w:before="0" w:after="0"/>
              <w:jc w:val="left"/>
              <w:rPr/>
            </w:pPr>
            <w:r>
              <w:rPr/>
              <w:t> </w:t>
            </w:r>
          </w:p>
        </w:tc>
        <w:tc>
          <w:tcPr>
            <w:tcW w:w="580" w:type="dxa"/>
            <w:tcBorders>
              <w:bottom w:val="single" w:sz="8" w:space="0" w:color="000000"/>
            </w:tcBorders>
            <w:tcMar>
              <w:bottom w:w="45" w:type="dxa"/>
            </w:tcMar>
            <w:vAlign w:val="center"/>
          </w:tcPr>
          <w:p>
            <w:pPr>
              <w:pStyle w:val="TableContents"/>
              <w:bidi w:val="0"/>
              <w:spacing w:before="0" w:after="0"/>
              <w:jc w:val="center"/>
              <w:rPr>
                <w:color w:val="000000"/>
              </w:rPr>
            </w:pPr>
            <w:r>
              <w:rPr>
                <w:color w:val="000000"/>
              </w:rPr>
              <w:t> </w:t>
            </w:r>
          </w:p>
        </w:tc>
        <w:tc>
          <w:tcPr>
            <w:tcW w:w="176" w:type="dxa"/>
            <w:tcBorders>
              <w:bottom w:val="single" w:sz="8" w:space="0" w:color="000000"/>
            </w:tcBorders>
            <w:tcMar>
              <w:bottom w:w="28" w:type="dxa"/>
            </w:tcMar>
            <w:vAlign w:val="center"/>
          </w:tcPr>
          <w:p>
            <w:pPr>
              <w:pStyle w:val="TableContents"/>
              <w:bidi w:val="0"/>
              <w:spacing w:before="0" w:after="0"/>
              <w:jc w:val="left"/>
              <w:rPr/>
            </w:pPr>
            <w:r>
              <w:rPr/>
              <w:t> </w:t>
            </w:r>
          </w:p>
        </w:tc>
        <w:tc>
          <w:tcPr>
            <w:tcW w:w="176" w:type="dxa"/>
            <w:tcBorders>
              <w:bottom w:val="single" w:sz="8" w:space="0" w:color="000000"/>
            </w:tcBorders>
            <w:tcMar>
              <w:bottom w:w="28" w:type="dxa"/>
            </w:tcMar>
            <w:vAlign w:val="center"/>
          </w:tcPr>
          <w:p>
            <w:pPr>
              <w:pStyle w:val="TableContents"/>
              <w:bidi w:val="0"/>
              <w:spacing w:before="0" w:after="0"/>
              <w:jc w:val="left"/>
              <w:rPr/>
            </w:pPr>
            <w:r>
              <w:rPr/>
              <w:t> </w:t>
            </w:r>
          </w:p>
        </w:tc>
        <w:tc>
          <w:tcPr>
            <w:tcW w:w="534" w:type="dxa"/>
            <w:tcBorders>
              <w:bottom w:val="single" w:sz="8" w:space="0" w:color="000000"/>
            </w:tcBorders>
            <w:tcMar>
              <w:bottom w:w="45"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color w:val="000000"/>
              </w:rPr>
            </w:pPr>
            <w:r>
              <w:rPr>
                <w:color w:val="000000"/>
              </w:rPr>
              <w:t> </w:t>
            </w:r>
          </w:p>
        </w:tc>
      </w:tr>
      <w:tr>
        <w:trPr/>
        <w:tc>
          <w:tcPr>
            <w:tcW w:w="365" w:type="dxa"/>
            <w:vMerge w:val="restart"/>
            <w:tcBorders/>
            <w:vAlign w:val="center"/>
          </w:tcPr>
          <w:p>
            <w:pPr>
              <w:pStyle w:val="TableContents"/>
              <w:bidi w:val="0"/>
              <w:spacing w:before="0" w:after="0"/>
              <w:jc w:val="left"/>
              <w:rPr>
                <w:color w:val="000000"/>
              </w:rPr>
            </w:pPr>
            <w:r>
              <w:rPr>
                <w:color w:val="000000"/>
              </w:rPr>
              <w:t>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vMerge w:val="restart"/>
            <w:tcBorders>
              <w:bottom w:val="single" w:sz="8" w:space="0" w:color="000000"/>
            </w:tcBorders>
            <w:tcMar>
              <w:bottom w:w="45" w:type="dxa"/>
            </w:tcMar>
            <w:vAlign w:val="center"/>
          </w:tcPr>
          <w:p>
            <w:pPr>
              <w:pStyle w:val="TableContents"/>
              <w:bidi w:val="0"/>
              <w:spacing w:before="0" w:after="0"/>
              <w:jc w:val="center"/>
              <w:rPr>
                <w:color w:val="000000"/>
              </w:rPr>
            </w:pPr>
            <w:r>
              <w:rPr>
                <w:color w:val="000000"/>
              </w:rPr>
              <w:t> </w:t>
            </w:r>
          </w:p>
        </w:tc>
        <w:tc>
          <w:tcPr>
            <w:tcW w:w="170" w:type="dxa"/>
            <w:vMerge w:val="restart"/>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2315" w:type="dxa"/>
            <w:vMerge w:val="restart"/>
            <w:tcBorders>
              <w:bottom w:val="single" w:sz="8" w:space="0" w:color="000000"/>
            </w:tcBorders>
            <w:shd w:fill="D9D9D9" w:val="clear"/>
            <w:tcMar>
              <w:bottom w:w="4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Target AIP Payout as a % of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Base Salary</w:t>
            </w:r>
          </w:p>
        </w:tc>
        <w:tc>
          <w:tcPr>
            <w:tcW w:w="170" w:type="dxa"/>
            <w:vMerge w:val="restart"/>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2492" w:type="dxa"/>
            <w:gridSpan w:val="7"/>
            <w:tcBorders>
              <w:bottom w:val="single" w:sz="8" w:space="0" w:color="000000"/>
            </w:tcBorders>
            <w:shd w:fill="D9D9D9" w:val="clear"/>
            <w:tcMar>
              <w:bottom w:w="4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Payout Range as a % of Target </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center"/>
              <w:rPr>
                <w:color w:val="000000"/>
              </w:rPr>
            </w:pPr>
            <w:r>
              <w:rPr>
                <w:color w:val="000000"/>
              </w:rPr>
              <w:t> </w:t>
            </w:r>
          </w:p>
        </w:tc>
      </w:tr>
      <w:tr>
        <w:trPr/>
        <w:tc>
          <w:tcPr>
            <w:tcW w:w="36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2255" w:type="dxa"/>
            <w:vMerge w:val="continue"/>
            <w:tcBorders>
              <w:bottom w:val="single" w:sz="8" w:space="0" w:color="000000"/>
            </w:tcBorders>
            <w:tcMar>
              <w:bottom w:w="45"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shd w:fill="D9D9D9" w:val="clear"/>
            <w:tcMar>
              <w:bottom w:w="28" w:type="dxa"/>
            </w:tcMar>
            <w:vAlign w:val="center"/>
          </w:tcPr>
          <w:p>
            <w:pPr>
              <w:pStyle w:val="Normal"/>
              <w:bidi w:val="0"/>
              <w:jc w:val="left"/>
              <w:rPr/>
            </w:pPr>
            <w:r>
              <w:rPr/>
            </w:r>
          </w:p>
        </w:tc>
        <w:tc>
          <w:tcPr>
            <w:tcW w:w="2315" w:type="dxa"/>
            <w:vMerge w:val="continue"/>
            <w:tcBorders>
              <w:bottom w:val="single" w:sz="8" w:space="0" w:color="000000"/>
            </w:tcBorders>
            <w:shd w:fill="D9D9D9" w:val="clear"/>
            <w:tcMar>
              <w:bottom w:w="45"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D9D9D9" w:val="clear"/>
            <w:tcMar>
              <w:bottom w:w="28" w:type="dxa"/>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4"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Thresh.</w:t>
            </w:r>
          </w:p>
        </w:tc>
        <w:tc>
          <w:tcPr>
            <w:tcW w:w="176"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6" w:type="dxa"/>
            <w:tcBorders>
              <w:bottom w:val="single" w:sz="8" w:space="0" w:color="000000"/>
            </w:tcBorders>
            <w:tcMar>
              <w:bottom w:w="28" w:type="dxa"/>
            </w:tcMar>
            <w:vAlign w:val="center"/>
          </w:tcPr>
          <w:p>
            <w:pPr>
              <w:pStyle w:val="TableContents"/>
              <w:bidi w:val="0"/>
              <w:spacing w:before="0" w:after="0"/>
              <w:jc w:val="left"/>
              <w:rPr/>
            </w:pPr>
            <w:r>
              <w:rPr/>
              <w:t> </w:t>
            </w:r>
          </w:p>
        </w:tc>
        <w:tc>
          <w:tcPr>
            <w:tcW w:w="580"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Target</w:t>
            </w:r>
          </w:p>
        </w:tc>
        <w:tc>
          <w:tcPr>
            <w:tcW w:w="176"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6" w:type="dxa"/>
            <w:tcBorders>
              <w:bottom w:val="single" w:sz="8" w:space="0" w:color="000000"/>
            </w:tcBorders>
            <w:tcMar>
              <w:bottom w:w="28" w:type="dxa"/>
            </w:tcMar>
            <w:vAlign w:val="center"/>
          </w:tcPr>
          <w:p>
            <w:pPr>
              <w:pStyle w:val="TableContents"/>
              <w:bidi w:val="0"/>
              <w:spacing w:before="0" w:after="0"/>
              <w:jc w:val="left"/>
              <w:rPr/>
            </w:pPr>
            <w:r>
              <w:rPr/>
              <w:t> </w:t>
            </w:r>
          </w:p>
        </w:tc>
        <w:tc>
          <w:tcPr>
            <w:tcW w:w="534" w:type="dxa"/>
            <w:tcBorders>
              <w:bottom w:val="single" w:sz="8" w:space="0" w:color="000000"/>
            </w:tcBorders>
            <w:tcMar>
              <w:bottom w:w="4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Max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center"/>
              <w:rPr>
                <w:color w:val="000000"/>
              </w:rPr>
            </w:pPr>
            <w:r>
              <w:rPr>
                <w:color w:val="000000"/>
              </w:rPr>
              <w:t> </w:t>
            </w:r>
          </w:p>
        </w:tc>
      </w:tr>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4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Darren M. Rebelez, CEO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15" w:type="dxa"/>
            <w:tcBorders>
              <w:bottom w:val="single" w:sz="8" w:space="0" w:color="000000"/>
            </w:tcBorders>
            <w:tcMar>
              <w:bottom w:w="45" w:type="dxa"/>
            </w:tcMar>
            <w:vAlign w:val="center"/>
          </w:tcPr>
          <w:p>
            <w:pPr>
              <w:pStyle w:val="TableContents"/>
              <w:bidi w:val="0"/>
              <w:spacing w:before="0" w:after="283"/>
              <w:ind w:left="1185" w:right="0" w:hanging="0"/>
              <w:jc w:val="left"/>
              <w:rPr>
                <w:rFonts w:ascii="Times New Roman;Times;serif" w:hAnsi="Times New Roman;Times;serif"/>
                <w:color w:val="000000"/>
                <w:sz w:val="18"/>
              </w:rPr>
            </w:pPr>
            <w:r>
              <w:rPr>
                <w:rFonts w:ascii="Times New Roman;Times;serif" w:hAnsi="Times New Roman;Times;serif"/>
                <w:color w:val="000000"/>
                <w:sz w:val="18"/>
              </w:rPr>
              <w:t>150%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4" w:type="dxa"/>
            <w:tcBorders>
              <w:bottom w:val="single" w:sz="8" w:space="0" w:color="000000"/>
            </w:tcBorders>
            <w:tcMar>
              <w:bottom w:w="45" w:type="dxa"/>
            </w:tcMar>
            <w:vAlign w:val="center"/>
          </w:tcPr>
          <w:p>
            <w:pPr>
              <w:pStyle w:val="TableContents"/>
              <w:bidi w:val="0"/>
              <w:spacing w:before="0" w:after="283"/>
              <w:ind w:left="377" w:right="0" w:hanging="0"/>
              <w:jc w:val="left"/>
              <w:rPr>
                <w:rFonts w:ascii="Times New Roman;Times;serif" w:hAnsi="Times New Roman;Times;serif"/>
                <w:color w:val="000000"/>
                <w:sz w:val="18"/>
              </w:rPr>
            </w:pPr>
            <w:r>
              <w:rPr>
                <w:rFonts w:ascii="Times New Roman;Times;serif" w:hAnsi="Times New Roman;Times;serif"/>
                <w:color w:val="000000"/>
                <w:sz w:val="18"/>
              </w:rPr>
              <w:t>25%</w:t>
            </w:r>
          </w:p>
        </w:tc>
        <w:tc>
          <w:tcPr>
            <w:tcW w:w="176"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6" w:type="dxa"/>
            <w:tcBorders>
              <w:bottom w:val="single" w:sz="8" w:space="0" w:color="000000"/>
            </w:tcBorders>
            <w:tcMar>
              <w:bottom w:w="28" w:type="dxa"/>
            </w:tcMar>
            <w:vAlign w:val="center"/>
          </w:tcPr>
          <w:p>
            <w:pPr>
              <w:pStyle w:val="TableContents"/>
              <w:bidi w:val="0"/>
              <w:spacing w:before="0" w:after="0"/>
              <w:jc w:val="left"/>
              <w:rPr/>
            </w:pPr>
            <w:r>
              <w:rPr/>
              <w:t> </w:t>
            </w:r>
          </w:p>
        </w:tc>
        <w:tc>
          <w:tcPr>
            <w:tcW w:w="580" w:type="dxa"/>
            <w:tcBorders>
              <w:bottom w:val="single" w:sz="8" w:space="0" w:color="000000"/>
            </w:tcBorders>
            <w:tcMar>
              <w:bottom w:w="45" w:type="dxa"/>
            </w:tcMar>
            <w:vAlign w:val="center"/>
          </w:tcPr>
          <w:p>
            <w:pPr>
              <w:pStyle w:val="TableContents"/>
              <w:bidi w:val="0"/>
              <w:spacing w:before="0" w:after="283"/>
              <w:ind w:left="332" w:right="0" w:hanging="0"/>
              <w:jc w:val="left"/>
              <w:rPr>
                <w:rFonts w:ascii="Times New Roman;Times;serif" w:hAnsi="Times New Roman;Times;serif"/>
                <w:color w:val="000000"/>
                <w:sz w:val="18"/>
              </w:rPr>
            </w:pPr>
            <w:r>
              <w:rPr>
                <w:rFonts w:ascii="Times New Roman;Times;serif" w:hAnsi="Times New Roman;Times;serif"/>
                <w:color w:val="000000"/>
                <w:sz w:val="18"/>
              </w:rPr>
              <w:t>100%</w:t>
            </w:r>
          </w:p>
        </w:tc>
        <w:tc>
          <w:tcPr>
            <w:tcW w:w="176"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6" w:type="dxa"/>
            <w:tcBorders>
              <w:bottom w:val="single" w:sz="8" w:space="0" w:color="000000"/>
            </w:tcBorders>
            <w:tcMar>
              <w:bottom w:w="28" w:type="dxa"/>
            </w:tcMar>
            <w:vAlign w:val="center"/>
          </w:tcPr>
          <w:p>
            <w:pPr>
              <w:pStyle w:val="TableContents"/>
              <w:bidi w:val="0"/>
              <w:spacing w:before="0" w:after="0"/>
              <w:jc w:val="left"/>
              <w:rPr/>
            </w:pPr>
            <w:r>
              <w:rPr/>
              <w:t> </w:t>
            </w:r>
          </w:p>
        </w:tc>
        <w:tc>
          <w:tcPr>
            <w:tcW w:w="534" w:type="dxa"/>
            <w:tcBorders>
              <w:bottom w:val="single" w:sz="8" w:space="0" w:color="000000"/>
            </w:tcBorders>
            <w:tcMar>
              <w:bottom w:w="45" w:type="dxa"/>
            </w:tcMar>
            <w:vAlign w:val="center"/>
          </w:tcPr>
          <w:p>
            <w:pPr>
              <w:pStyle w:val="TableContents"/>
              <w:bidi w:val="0"/>
              <w:spacing w:before="0" w:after="283"/>
              <w:ind w:left="33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200%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color w:val="000000"/>
              </w:rPr>
            </w:pPr>
            <w:r>
              <w:rPr>
                <w:color w:val="000000"/>
              </w:rPr>
              <w:t> </w:t>
            </w:r>
          </w:p>
        </w:tc>
      </w:tr>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4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Stephen P. Bramlage, Jr., CFO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15" w:type="dxa"/>
            <w:tcBorders>
              <w:bottom w:val="single" w:sz="8" w:space="0" w:color="000000"/>
            </w:tcBorders>
            <w:tcMar>
              <w:bottom w:w="45" w:type="dxa"/>
            </w:tcMar>
            <w:vAlign w:val="center"/>
          </w:tcPr>
          <w:p>
            <w:pPr>
              <w:pStyle w:val="TableContents"/>
              <w:bidi w:val="0"/>
              <w:spacing w:before="0" w:after="283"/>
              <w:ind w:left="1185" w:right="0" w:hanging="0"/>
              <w:jc w:val="left"/>
              <w:rPr>
                <w:rFonts w:ascii="Times New Roman;Times;serif" w:hAnsi="Times New Roman;Times;serif"/>
                <w:color w:val="000000"/>
                <w:sz w:val="18"/>
              </w:rPr>
            </w:pPr>
            <w:r>
              <w:rPr>
                <w:rFonts w:ascii="Times New Roman;Times;serif" w:hAnsi="Times New Roman;Times;serif"/>
                <w:color w:val="000000"/>
                <w:sz w:val="18"/>
              </w:rPr>
              <w:t>100%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4" w:type="dxa"/>
            <w:tcBorders>
              <w:bottom w:val="single" w:sz="8" w:space="0" w:color="000000"/>
            </w:tcBorders>
            <w:tcMar>
              <w:bottom w:w="45" w:type="dxa"/>
            </w:tcMar>
            <w:vAlign w:val="center"/>
          </w:tcPr>
          <w:p>
            <w:pPr>
              <w:pStyle w:val="TableContents"/>
              <w:bidi w:val="0"/>
              <w:spacing w:before="0" w:after="283"/>
              <w:ind w:left="377" w:right="0" w:hanging="0"/>
              <w:jc w:val="left"/>
              <w:rPr>
                <w:rFonts w:ascii="Times New Roman;Times;serif" w:hAnsi="Times New Roman;Times;serif"/>
                <w:color w:val="000000"/>
                <w:sz w:val="18"/>
              </w:rPr>
            </w:pPr>
            <w:r>
              <w:rPr>
                <w:rFonts w:ascii="Times New Roman;Times;serif" w:hAnsi="Times New Roman;Times;serif"/>
                <w:color w:val="000000"/>
                <w:sz w:val="18"/>
              </w:rPr>
              <w:t>25%</w:t>
            </w:r>
          </w:p>
        </w:tc>
        <w:tc>
          <w:tcPr>
            <w:tcW w:w="176"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6" w:type="dxa"/>
            <w:tcBorders>
              <w:bottom w:val="single" w:sz="8" w:space="0" w:color="000000"/>
            </w:tcBorders>
            <w:tcMar>
              <w:bottom w:w="28" w:type="dxa"/>
            </w:tcMar>
            <w:vAlign w:val="center"/>
          </w:tcPr>
          <w:p>
            <w:pPr>
              <w:pStyle w:val="TableContents"/>
              <w:bidi w:val="0"/>
              <w:spacing w:before="0" w:after="0"/>
              <w:jc w:val="left"/>
              <w:rPr/>
            </w:pPr>
            <w:r>
              <w:rPr/>
              <w:t> </w:t>
            </w:r>
          </w:p>
        </w:tc>
        <w:tc>
          <w:tcPr>
            <w:tcW w:w="580" w:type="dxa"/>
            <w:tcBorders>
              <w:bottom w:val="single" w:sz="8" w:space="0" w:color="000000"/>
            </w:tcBorders>
            <w:tcMar>
              <w:bottom w:w="45" w:type="dxa"/>
            </w:tcMar>
            <w:vAlign w:val="center"/>
          </w:tcPr>
          <w:p>
            <w:pPr>
              <w:pStyle w:val="TableContents"/>
              <w:bidi w:val="0"/>
              <w:spacing w:before="0" w:after="283"/>
              <w:ind w:left="332" w:right="0" w:hanging="0"/>
              <w:jc w:val="left"/>
              <w:rPr>
                <w:rFonts w:ascii="Times New Roman;Times;serif" w:hAnsi="Times New Roman;Times;serif"/>
                <w:color w:val="000000"/>
                <w:sz w:val="18"/>
              </w:rPr>
            </w:pPr>
            <w:r>
              <w:rPr>
                <w:rFonts w:ascii="Times New Roman;Times;serif" w:hAnsi="Times New Roman;Times;serif"/>
                <w:color w:val="000000"/>
                <w:sz w:val="18"/>
              </w:rPr>
              <w:t>100%</w:t>
            </w:r>
          </w:p>
        </w:tc>
        <w:tc>
          <w:tcPr>
            <w:tcW w:w="176"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6" w:type="dxa"/>
            <w:tcBorders>
              <w:bottom w:val="single" w:sz="8" w:space="0" w:color="000000"/>
            </w:tcBorders>
            <w:tcMar>
              <w:bottom w:w="28" w:type="dxa"/>
            </w:tcMar>
            <w:vAlign w:val="center"/>
          </w:tcPr>
          <w:p>
            <w:pPr>
              <w:pStyle w:val="TableContents"/>
              <w:bidi w:val="0"/>
              <w:spacing w:before="0" w:after="0"/>
              <w:jc w:val="left"/>
              <w:rPr/>
            </w:pPr>
            <w:r>
              <w:rPr/>
              <w:t> </w:t>
            </w:r>
          </w:p>
        </w:tc>
        <w:tc>
          <w:tcPr>
            <w:tcW w:w="534" w:type="dxa"/>
            <w:tcBorders>
              <w:bottom w:val="single" w:sz="8" w:space="0" w:color="000000"/>
            </w:tcBorders>
            <w:tcMar>
              <w:bottom w:w="45" w:type="dxa"/>
            </w:tcMar>
            <w:vAlign w:val="center"/>
          </w:tcPr>
          <w:p>
            <w:pPr>
              <w:pStyle w:val="TableContents"/>
              <w:bidi w:val="0"/>
              <w:spacing w:before="0" w:after="283"/>
              <w:ind w:left="332" w:right="0" w:hanging="0"/>
              <w:jc w:val="left"/>
              <w:rPr>
                <w:rFonts w:ascii="Times New Roman;Times;serif" w:hAnsi="Times New Roman;Times;serif"/>
                <w:color w:val="000000"/>
                <w:sz w:val="18"/>
              </w:rPr>
            </w:pPr>
            <w:r>
              <w:rPr>
                <w:rFonts w:ascii="Times New Roman;Times;serif" w:hAnsi="Times New Roman;Times;serif"/>
                <w:color w:val="000000"/>
                <w:sz w:val="18"/>
              </w:rPr>
              <w:t>200%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color w:val="000000"/>
              </w:rPr>
            </w:pPr>
            <w:r>
              <w:rPr>
                <w:color w:val="000000"/>
              </w:rPr>
              <w:t> </w:t>
            </w:r>
          </w:p>
        </w:tc>
      </w:tr>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4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Ena Williams, COO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15" w:type="dxa"/>
            <w:tcBorders>
              <w:bottom w:val="single" w:sz="8" w:space="0" w:color="000000"/>
            </w:tcBorders>
            <w:tcMar>
              <w:bottom w:w="45" w:type="dxa"/>
            </w:tcMar>
            <w:vAlign w:val="center"/>
          </w:tcPr>
          <w:p>
            <w:pPr>
              <w:pStyle w:val="TableContents"/>
              <w:bidi w:val="0"/>
              <w:spacing w:before="0" w:after="283"/>
              <w:ind w:left="1185" w:right="0" w:hanging="0"/>
              <w:jc w:val="left"/>
              <w:rPr>
                <w:rFonts w:ascii="Times New Roman;Times;serif" w:hAnsi="Times New Roman;Times;serif"/>
                <w:color w:val="000000"/>
                <w:sz w:val="18"/>
              </w:rPr>
            </w:pPr>
            <w:r>
              <w:rPr>
                <w:rFonts w:ascii="Times New Roman;Times;serif" w:hAnsi="Times New Roman;Times;serif"/>
                <w:color w:val="000000"/>
                <w:sz w:val="18"/>
              </w:rPr>
              <w:t>100%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4" w:type="dxa"/>
            <w:tcBorders>
              <w:bottom w:val="single" w:sz="8" w:space="0" w:color="000000"/>
            </w:tcBorders>
            <w:tcMar>
              <w:bottom w:w="45" w:type="dxa"/>
            </w:tcMar>
            <w:vAlign w:val="center"/>
          </w:tcPr>
          <w:p>
            <w:pPr>
              <w:pStyle w:val="TableContents"/>
              <w:bidi w:val="0"/>
              <w:spacing w:before="0" w:after="283"/>
              <w:ind w:left="377" w:right="0" w:hanging="0"/>
              <w:jc w:val="left"/>
              <w:rPr>
                <w:rFonts w:ascii="Times New Roman;Times;serif" w:hAnsi="Times New Roman;Times;serif"/>
                <w:color w:val="000000"/>
                <w:sz w:val="18"/>
              </w:rPr>
            </w:pPr>
            <w:r>
              <w:rPr>
                <w:rFonts w:ascii="Times New Roman;Times;serif" w:hAnsi="Times New Roman;Times;serif"/>
                <w:color w:val="000000"/>
                <w:sz w:val="18"/>
              </w:rPr>
              <w:t>25%</w:t>
            </w:r>
          </w:p>
        </w:tc>
        <w:tc>
          <w:tcPr>
            <w:tcW w:w="176"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6" w:type="dxa"/>
            <w:tcBorders>
              <w:bottom w:val="single" w:sz="8" w:space="0" w:color="000000"/>
            </w:tcBorders>
            <w:tcMar>
              <w:bottom w:w="28" w:type="dxa"/>
            </w:tcMar>
            <w:vAlign w:val="center"/>
          </w:tcPr>
          <w:p>
            <w:pPr>
              <w:pStyle w:val="TableContents"/>
              <w:bidi w:val="0"/>
              <w:spacing w:before="0" w:after="0"/>
              <w:jc w:val="left"/>
              <w:rPr/>
            </w:pPr>
            <w:r>
              <w:rPr/>
              <w:t> </w:t>
            </w:r>
          </w:p>
        </w:tc>
        <w:tc>
          <w:tcPr>
            <w:tcW w:w="580" w:type="dxa"/>
            <w:tcBorders>
              <w:bottom w:val="single" w:sz="8" w:space="0" w:color="000000"/>
            </w:tcBorders>
            <w:tcMar>
              <w:bottom w:w="45" w:type="dxa"/>
            </w:tcMar>
            <w:vAlign w:val="center"/>
          </w:tcPr>
          <w:p>
            <w:pPr>
              <w:pStyle w:val="TableContents"/>
              <w:bidi w:val="0"/>
              <w:spacing w:before="0" w:after="283"/>
              <w:ind w:left="332" w:right="0" w:hanging="0"/>
              <w:jc w:val="left"/>
              <w:rPr>
                <w:rFonts w:ascii="Times New Roman;Times;serif" w:hAnsi="Times New Roman;Times;serif"/>
                <w:color w:val="000000"/>
                <w:sz w:val="18"/>
              </w:rPr>
            </w:pPr>
            <w:r>
              <w:rPr>
                <w:rFonts w:ascii="Times New Roman;Times;serif" w:hAnsi="Times New Roman;Times;serif"/>
                <w:color w:val="000000"/>
                <w:sz w:val="18"/>
              </w:rPr>
              <w:t>100%</w:t>
            </w:r>
          </w:p>
        </w:tc>
        <w:tc>
          <w:tcPr>
            <w:tcW w:w="176"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6" w:type="dxa"/>
            <w:tcBorders>
              <w:bottom w:val="single" w:sz="8" w:space="0" w:color="000000"/>
            </w:tcBorders>
            <w:tcMar>
              <w:bottom w:w="28" w:type="dxa"/>
            </w:tcMar>
            <w:vAlign w:val="center"/>
          </w:tcPr>
          <w:p>
            <w:pPr>
              <w:pStyle w:val="TableContents"/>
              <w:bidi w:val="0"/>
              <w:spacing w:before="0" w:after="0"/>
              <w:jc w:val="left"/>
              <w:rPr/>
            </w:pPr>
            <w:r>
              <w:rPr/>
              <w:t> </w:t>
            </w:r>
          </w:p>
        </w:tc>
        <w:tc>
          <w:tcPr>
            <w:tcW w:w="534" w:type="dxa"/>
            <w:tcBorders>
              <w:bottom w:val="single" w:sz="8" w:space="0" w:color="000000"/>
            </w:tcBorders>
            <w:tcMar>
              <w:bottom w:w="45" w:type="dxa"/>
            </w:tcMar>
            <w:vAlign w:val="center"/>
          </w:tcPr>
          <w:p>
            <w:pPr>
              <w:pStyle w:val="TableContents"/>
              <w:bidi w:val="0"/>
              <w:spacing w:before="0" w:after="283"/>
              <w:ind w:left="332" w:right="0" w:hanging="0"/>
              <w:jc w:val="left"/>
              <w:rPr>
                <w:rFonts w:ascii="Times New Roman;Times;serif" w:hAnsi="Times New Roman;Times;serif"/>
                <w:color w:val="000000"/>
                <w:sz w:val="18"/>
              </w:rPr>
            </w:pPr>
            <w:r>
              <w:rPr>
                <w:rFonts w:ascii="Times New Roman;Times;serif" w:hAnsi="Times New Roman;Times;serif"/>
                <w:color w:val="000000"/>
                <w:sz w:val="18"/>
              </w:rPr>
              <w:t>200%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color w:val="000000"/>
              </w:rPr>
            </w:pPr>
            <w:r>
              <w:rPr>
                <w:color w:val="000000"/>
              </w:rPr>
              <w:t> </w:t>
            </w:r>
          </w:p>
        </w:tc>
      </w:tr>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4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Thomas P. Brennan, Jr., CMO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15" w:type="dxa"/>
            <w:tcBorders>
              <w:bottom w:val="single" w:sz="8" w:space="0" w:color="000000"/>
            </w:tcBorders>
            <w:tcMar>
              <w:bottom w:w="45" w:type="dxa"/>
            </w:tcMar>
            <w:vAlign w:val="center"/>
          </w:tcPr>
          <w:p>
            <w:pPr>
              <w:pStyle w:val="TableContents"/>
              <w:bidi w:val="0"/>
              <w:spacing w:before="0" w:after="283"/>
              <w:ind w:left="1185" w:right="0" w:hanging="0"/>
              <w:jc w:val="left"/>
              <w:rPr>
                <w:rFonts w:ascii="Times New Roman;Times;serif" w:hAnsi="Times New Roman;Times;serif"/>
                <w:color w:val="000000"/>
                <w:sz w:val="18"/>
              </w:rPr>
            </w:pPr>
            <w:r>
              <w:rPr>
                <w:rFonts w:ascii="Times New Roman;Times;serif" w:hAnsi="Times New Roman;Times;serif"/>
                <w:color w:val="000000"/>
                <w:sz w:val="18"/>
              </w:rPr>
              <w:t>75%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4" w:type="dxa"/>
            <w:tcBorders>
              <w:bottom w:val="single" w:sz="8" w:space="0" w:color="000000"/>
            </w:tcBorders>
            <w:tcMar>
              <w:bottom w:w="45" w:type="dxa"/>
            </w:tcMar>
            <w:vAlign w:val="center"/>
          </w:tcPr>
          <w:p>
            <w:pPr>
              <w:pStyle w:val="TableContents"/>
              <w:bidi w:val="0"/>
              <w:spacing w:before="0" w:after="283"/>
              <w:ind w:left="377" w:right="0" w:hanging="0"/>
              <w:jc w:val="left"/>
              <w:rPr>
                <w:rFonts w:ascii="Times New Roman;Times;serif" w:hAnsi="Times New Roman;Times;serif"/>
                <w:color w:val="000000"/>
                <w:sz w:val="18"/>
              </w:rPr>
            </w:pPr>
            <w:r>
              <w:rPr>
                <w:rFonts w:ascii="Times New Roman;Times;serif" w:hAnsi="Times New Roman;Times;serif"/>
                <w:color w:val="000000"/>
                <w:sz w:val="18"/>
              </w:rPr>
              <w:t>25%</w:t>
            </w:r>
          </w:p>
        </w:tc>
        <w:tc>
          <w:tcPr>
            <w:tcW w:w="176"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6" w:type="dxa"/>
            <w:tcBorders>
              <w:bottom w:val="single" w:sz="8" w:space="0" w:color="000000"/>
            </w:tcBorders>
            <w:tcMar>
              <w:bottom w:w="28" w:type="dxa"/>
            </w:tcMar>
            <w:vAlign w:val="center"/>
          </w:tcPr>
          <w:p>
            <w:pPr>
              <w:pStyle w:val="TableContents"/>
              <w:bidi w:val="0"/>
              <w:spacing w:before="0" w:after="0"/>
              <w:jc w:val="left"/>
              <w:rPr/>
            </w:pPr>
            <w:r>
              <w:rPr/>
              <w:t> </w:t>
            </w:r>
          </w:p>
        </w:tc>
        <w:tc>
          <w:tcPr>
            <w:tcW w:w="580" w:type="dxa"/>
            <w:tcBorders>
              <w:bottom w:val="single" w:sz="8" w:space="0" w:color="000000"/>
            </w:tcBorders>
            <w:tcMar>
              <w:bottom w:w="45" w:type="dxa"/>
            </w:tcMar>
            <w:vAlign w:val="center"/>
          </w:tcPr>
          <w:p>
            <w:pPr>
              <w:pStyle w:val="TableContents"/>
              <w:bidi w:val="0"/>
              <w:spacing w:before="0" w:after="283"/>
              <w:ind w:left="332" w:right="0" w:hanging="0"/>
              <w:jc w:val="left"/>
              <w:rPr>
                <w:rFonts w:ascii="Times New Roman;Times;serif" w:hAnsi="Times New Roman;Times;serif"/>
                <w:color w:val="000000"/>
                <w:sz w:val="18"/>
              </w:rPr>
            </w:pPr>
            <w:r>
              <w:rPr>
                <w:rFonts w:ascii="Times New Roman;Times;serif" w:hAnsi="Times New Roman;Times;serif"/>
                <w:color w:val="000000"/>
                <w:sz w:val="18"/>
              </w:rPr>
              <w:t>100%</w:t>
            </w:r>
          </w:p>
        </w:tc>
        <w:tc>
          <w:tcPr>
            <w:tcW w:w="176"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6" w:type="dxa"/>
            <w:tcBorders>
              <w:bottom w:val="single" w:sz="8" w:space="0" w:color="000000"/>
            </w:tcBorders>
            <w:tcMar>
              <w:bottom w:w="28" w:type="dxa"/>
            </w:tcMar>
            <w:vAlign w:val="center"/>
          </w:tcPr>
          <w:p>
            <w:pPr>
              <w:pStyle w:val="TableContents"/>
              <w:bidi w:val="0"/>
              <w:spacing w:before="0" w:after="0"/>
              <w:jc w:val="left"/>
              <w:rPr/>
            </w:pPr>
            <w:r>
              <w:rPr/>
              <w:t> </w:t>
            </w:r>
          </w:p>
        </w:tc>
        <w:tc>
          <w:tcPr>
            <w:tcW w:w="534" w:type="dxa"/>
            <w:tcBorders>
              <w:bottom w:val="single" w:sz="8" w:space="0" w:color="000000"/>
            </w:tcBorders>
            <w:tcMar>
              <w:bottom w:w="45" w:type="dxa"/>
            </w:tcMar>
            <w:vAlign w:val="center"/>
          </w:tcPr>
          <w:p>
            <w:pPr>
              <w:pStyle w:val="TableContents"/>
              <w:bidi w:val="0"/>
              <w:spacing w:before="0" w:after="283"/>
              <w:ind w:left="332" w:right="0" w:hanging="0"/>
              <w:jc w:val="left"/>
              <w:rPr>
                <w:rFonts w:ascii="Times New Roman;Times;serif" w:hAnsi="Times New Roman;Times;serif"/>
                <w:color w:val="000000"/>
                <w:sz w:val="18"/>
              </w:rPr>
            </w:pPr>
            <w:r>
              <w:rPr>
                <w:rFonts w:ascii="Times New Roman;Times;serif" w:hAnsi="Times New Roman;Times;serif"/>
                <w:color w:val="000000"/>
                <w:sz w:val="18"/>
              </w:rPr>
              <w:t>200%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color w:val="000000"/>
              </w:rPr>
            </w:pPr>
            <w:r>
              <w:rPr>
                <w:color w:val="000000"/>
              </w:rPr>
              <w:t> </w:t>
            </w:r>
          </w:p>
        </w:tc>
      </w:tr>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4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Chad M. Frazell, CHRO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15" w:type="dxa"/>
            <w:tcBorders>
              <w:bottom w:val="single" w:sz="8" w:space="0" w:color="000000"/>
            </w:tcBorders>
            <w:tcMar>
              <w:bottom w:w="45" w:type="dxa"/>
            </w:tcMar>
            <w:vAlign w:val="center"/>
          </w:tcPr>
          <w:p>
            <w:pPr>
              <w:pStyle w:val="TableContents"/>
              <w:bidi w:val="0"/>
              <w:spacing w:before="0" w:after="283"/>
              <w:ind w:left="1185" w:right="0" w:hanging="0"/>
              <w:jc w:val="left"/>
              <w:rPr>
                <w:rFonts w:ascii="Times New Roman;Times;serif" w:hAnsi="Times New Roman;Times;serif"/>
                <w:color w:val="000000"/>
                <w:sz w:val="18"/>
              </w:rPr>
            </w:pPr>
            <w:r>
              <w:rPr>
                <w:rFonts w:ascii="Times New Roman;Times;serif" w:hAnsi="Times New Roman;Times;serif"/>
                <w:color w:val="000000"/>
                <w:sz w:val="18"/>
              </w:rPr>
              <w:t>75%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4" w:type="dxa"/>
            <w:tcBorders>
              <w:bottom w:val="single" w:sz="8" w:space="0" w:color="000000"/>
            </w:tcBorders>
            <w:tcMar>
              <w:bottom w:w="45" w:type="dxa"/>
            </w:tcMar>
            <w:vAlign w:val="center"/>
          </w:tcPr>
          <w:p>
            <w:pPr>
              <w:pStyle w:val="TableContents"/>
              <w:bidi w:val="0"/>
              <w:spacing w:before="0" w:after="283"/>
              <w:ind w:left="377" w:right="0" w:hanging="0"/>
              <w:jc w:val="left"/>
              <w:rPr>
                <w:rFonts w:ascii="Times New Roman;Times;serif" w:hAnsi="Times New Roman;Times;serif"/>
                <w:color w:val="000000"/>
                <w:sz w:val="18"/>
              </w:rPr>
            </w:pPr>
            <w:r>
              <w:rPr>
                <w:rFonts w:ascii="Times New Roman;Times;serif" w:hAnsi="Times New Roman;Times;serif"/>
                <w:color w:val="000000"/>
                <w:sz w:val="18"/>
              </w:rPr>
              <w:t>25%</w:t>
            </w:r>
          </w:p>
        </w:tc>
        <w:tc>
          <w:tcPr>
            <w:tcW w:w="176"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6" w:type="dxa"/>
            <w:tcBorders>
              <w:bottom w:val="single" w:sz="8" w:space="0" w:color="000000"/>
            </w:tcBorders>
            <w:tcMar>
              <w:bottom w:w="28" w:type="dxa"/>
            </w:tcMar>
            <w:vAlign w:val="center"/>
          </w:tcPr>
          <w:p>
            <w:pPr>
              <w:pStyle w:val="TableContents"/>
              <w:bidi w:val="0"/>
              <w:spacing w:before="0" w:after="0"/>
              <w:jc w:val="left"/>
              <w:rPr/>
            </w:pPr>
            <w:r>
              <w:rPr/>
              <w:t> </w:t>
            </w:r>
          </w:p>
        </w:tc>
        <w:tc>
          <w:tcPr>
            <w:tcW w:w="580" w:type="dxa"/>
            <w:tcBorders>
              <w:bottom w:val="single" w:sz="8" w:space="0" w:color="000000"/>
            </w:tcBorders>
            <w:tcMar>
              <w:bottom w:w="45" w:type="dxa"/>
            </w:tcMar>
            <w:vAlign w:val="center"/>
          </w:tcPr>
          <w:p>
            <w:pPr>
              <w:pStyle w:val="TableContents"/>
              <w:bidi w:val="0"/>
              <w:spacing w:before="0" w:after="283"/>
              <w:ind w:left="332" w:right="0" w:hanging="0"/>
              <w:jc w:val="left"/>
              <w:rPr>
                <w:rFonts w:ascii="Times New Roman;Times;serif" w:hAnsi="Times New Roman;Times;serif"/>
                <w:color w:val="000000"/>
                <w:sz w:val="18"/>
              </w:rPr>
            </w:pPr>
            <w:r>
              <w:rPr>
                <w:rFonts w:ascii="Times New Roman;Times;serif" w:hAnsi="Times New Roman;Times;serif"/>
                <w:color w:val="000000"/>
                <w:sz w:val="18"/>
              </w:rPr>
              <w:t>100%</w:t>
            </w:r>
          </w:p>
        </w:tc>
        <w:tc>
          <w:tcPr>
            <w:tcW w:w="176"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6" w:type="dxa"/>
            <w:tcBorders>
              <w:bottom w:val="single" w:sz="8" w:space="0" w:color="000000"/>
            </w:tcBorders>
            <w:tcMar>
              <w:bottom w:w="28" w:type="dxa"/>
            </w:tcMar>
            <w:vAlign w:val="center"/>
          </w:tcPr>
          <w:p>
            <w:pPr>
              <w:pStyle w:val="TableContents"/>
              <w:bidi w:val="0"/>
              <w:spacing w:before="0" w:after="0"/>
              <w:jc w:val="left"/>
              <w:rPr/>
            </w:pPr>
            <w:r>
              <w:rPr/>
              <w:t> </w:t>
            </w:r>
          </w:p>
        </w:tc>
        <w:tc>
          <w:tcPr>
            <w:tcW w:w="534" w:type="dxa"/>
            <w:tcBorders>
              <w:bottom w:val="single" w:sz="8" w:space="0" w:color="000000"/>
            </w:tcBorders>
            <w:tcMar>
              <w:bottom w:w="45" w:type="dxa"/>
            </w:tcMar>
            <w:vAlign w:val="center"/>
          </w:tcPr>
          <w:p>
            <w:pPr>
              <w:pStyle w:val="TableContents"/>
              <w:bidi w:val="0"/>
              <w:spacing w:before="0" w:after="283"/>
              <w:ind w:left="332" w:right="0" w:hanging="0"/>
              <w:jc w:val="left"/>
              <w:rPr>
                <w:rFonts w:ascii="Times New Roman;Times;serif" w:hAnsi="Times New Roman;Times;serif"/>
                <w:color w:val="000000"/>
                <w:sz w:val="18"/>
              </w:rPr>
            </w:pPr>
            <w:r>
              <w:rPr>
                <w:rFonts w:ascii="Times New Roman;Times;serif" w:hAnsi="Times New Roman;Times;serif"/>
                <w:color w:val="000000"/>
                <w:sz w:val="18"/>
              </w:rPr>
              <w:t>200%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color w:val="000000"/>
              </w:rPr>
            </w:pPr>
            <w:r>
              <w:rPr>
                <w:color w:val="000000"/>
              </w:rPr>
              <w:t> </w:t>
            </w:r>
          </w:p>
        </w:tc>
      </w:tr>
      <w:tr>
        <w:trPr/>
        <w:tc>
          <w:tcPr>
            <w:tcW w:w="365"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5872" w:type="dxa"/>
            <w:gridSpan w:val="14"/>
            <w:tcBorders/>
          </w:tcPr>
          <w:p>
            <w:pPr>
              <w:pStyle w:val="TableContents"/>
              <w:bidi w:val="0"/>
              <w:spacing w:before="0" w:after="283"/>
              <w:jc w:val="left"/>
              <w:rPr>
                <w:sz w:val="4"/>
                <w:szCs w:val="4"/>
              </w:rPr>
            </w:pPr>
            <w:r>
              <w:rPr>
                <w:sz w:val="4"/>
                <w:szCs w:val="4"/>
              </w:rPr>
            </w:r>
          </w:p>
        </w:tc>
      </w:tr>
      <w:tr>
        <w:trPr/>
        <w:tc>
          <w:tcPr>
            <w:tcW w:w="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72" w:type="dxa"/>
            <w:gridSpan w:val="14"/>
            <w:tcBorders/>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target total cash for Mr. Rebelez was approximately 97% of the market median (derived by Pearl Meyer from a blend of survey and peer group data) and the average target payout of the other NEOs approximated the market median.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u w:val="single"/>
        </w:rPr>
        <w:t>Annual Incentive Metrics</w:t>
      </w:r>
      <w:r>
        <w:rPr>
          <w:rFonts w:ascii="Times New Roman;Times;serif" w:hAnsi="Times New Roman;Times;serif"/>
          <w:b/>
          <w:color w:val="000000"/>
          <w:sz w:val="20"/>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following is a detailed description of the AIP metrics for the 2026 fiscal year: </w:t>
      </w:r>
    </w:p>
    <w:tbl>
      <w:tblPr>
        <w:tblW w:w="10205" w:type="dxa"/>
        <w:jc w:val="left"/>
        <w:tblInd w:w="0" w:type="dxa"/>
        <w:tblLayout w:type="fixed"/>
        <w:tblCellMar>
          <w:top w:w="0" w:type="dxa"/>
          <w:left w:w="0" w:type="dxa"/>
          <w:bottom w:w="0" w:type="dxa"/>
          <w:right w:w="0" w:type="dxa"/>
        </w:tblCellMar>
      </w:tblPr>
      <w:tblGrid>
        <w:gridCol w:w="185"/>
        <w:gridCol w:w="1186"/>
        <w:gridCol w:w="170"/>
        <w:gridCol w:w="170"/>
        <w:gridCol w:w="575"/>
        <w:gridCol w:w="170"/>
        <w:gridCol w:w="170"/>
        <w:gridCol w:w="7363"/>
        <w:gridCol w:w="216"/>
      </w:tblGrid>
      <w:tr>
        <w:trPr/>
        <w:tc>
          <w:tcPr>
            <w:tcW w:w="185" w:type="dxa"/>
            <w:tcBorders/>
            <w:shd w:fill="D9D9D9" w:val="clear"/>
            <w:vAlign w:val="center"/>
          </w:tcPr>
          <w:p>
            <w:pPr>
              <w:pStyle w:val="TableContents"/>
              <w:bidi w:val="0"/>
              <w:spacing w:before="0" w:after="0"/>
              <w:jc w:val="left"/>
              <w:rPr/>
            </w:pPr>
            <w:r>
              <w:rPr/>
              <w:t> </w:t>
            </w:r>
          </w:p>
        </w:tc>
        <w:tc>
          <w:tcPr>
            <w:tcW w:w="9804" w:type="dxa"/>
            <w:gridSpan w:val="7"/>
            <w:tcBorders/>
            <w:shd w:fill="D9D9D9" w:val="clear"/>
            <w:vAlign w:val="center"/>
          </w:tcPr>
          <w:p>
            <w:pPr>
              <w:pStyle w:val="TableContents"/>
              <w:bidi w:val="0"/>
              <w:spacing w:before="0" w:after="0"/>
              <w:jc w:val="left"/>
              <w:rPr/>
            </w:pPr>
            <w:r>
              <w:rPr/>
              <w:t>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4" w:type="dxa"/>
            <w:gridSpan w:val="7"/>
            <w:tcBorders>
              <w:bottom w:val="single" w:sz="8" w:space="0" w:color="000000"/>
            </w:tcBorders>
            <w:shd w:fill="D9D9D9" w:val="clear"/>
            <w:tcMar>
              <w:bottom w:w="2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2026 AIP Metrics </w:t>
            </w:r>
          </w:p>
        </w:tc>
        <w:tc>
          <w:tcPr>
            <w:tcW w:w="216"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18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Metrics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Weight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36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Description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18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EBITDA</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60%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363"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EBITDA</w:t>
            </w:r>
            <w:r>
              <w:rPr>
                <w:rFonts w:ascii="Times New Roman;Times;serif" w:hAnsi="Times New Roman;Times;serif"/>
                <w:b w:val="false"/>
                <w:color w:val="000000"/>
                <w:sz w:val="18"/>
              </w:rPr>
              <w:t xml:space="preserve">: We define EBITDA as net income before net interest expense, income taxes, depreciation and amortization, which is a critical financial measure in our business because it: </w:t>
            </w:r>
          </w:p>
          <w:p>
            <w:pPr>
              <w:pStyle w:val="TableContents"/>
              <w:bidi w:val="0"/>
              <w:spacing w:before="100" w:after="283"/>
              <w:ind w:left="0" w:right="0" w:hanging="0"/>
              <w:jc w:val="left"/>
              <w:rPr>
                <w:color w:val="000000"/>
              </w:rPr>
            </w:pPr>
            <w:r>
              <w:rPr>
                <w:color w:val="000000"/>
              </w:rPr>
              <w:t>⯀ </w:t>
            </w:r>
          </w:p>
          <w:p>
            <w:pPr>
              <w:pStyle w:val="TableContents"/>
              <w:bidi w:val="0"/>
              <w:spacing w:before="100" w:after="283"/>
              <w:jc w:val="left"/>
              <w:rPr>
                <w:rFonts w:ascii="Times New Roman;Times;serif" w:hAnsi="Times New Roman;Times;serif"/>
                <w:b w:val="false"/>
                <w:color w:val="000000"/>
                <w:sz w:val="18"/>
              </w:rPr>
            </w:pPr>
            <w:r>
              <w:rPr>
                <w:rFonts w:ascii="Times New Roman;Times;serif" w:hAnsi="Times New Roman;Times;serif"/>
                <w:b w:val="false"/>
                <w:color w:val="000000"/>
                <w:sz w:val="18"/>
              </w:rPr>
              <w:t xml:space="preserve">Measures overall financial performance and value created by the Company </w:t>
            </w:r>
          </w:p>
          <w:p>
            <w:pPr>
              <w:pStyle w:val="TableContents"/>
              <w:bidi w:val="0"/>
              <w:spacing w:before="60" w:after="283"/>
              <w:ind w:left="0" w:right="0" w:hanging="0"/>
              <w:jc w:val="left"/>
              <w:rPr>
                <w:color w:val="000000"/>
              </w:rPr>
            </w:pPr>
            <w:r>
              <w:rPr>
                <w:color w:val="000000"/>
              </w:rPr>
              <w:t>⯀ </w:t>
            </w:r>
          </w:p>
          <w:p>
            <w:pPr>
              <w:pStyle w:val="TableContents"/>
              <w:bidi w:val="0"/>
              <w:spacing w:before="60" w:after="283"/>
              <w:jc w:val="left"/>
              <w:rPr>
                <w:rFonts w:ascii="Times New Roman;Times;serif" w:hAnsi="Times New Roman;Times;serif"/>
                <w:b w:val="false"/>
                <w:color w:val="000000"/>
                <w:sz w:val="18"/>
              </w:rPr>
            </w:pPr>
            <w:r>
              <w:rPr>
                <w:rFonts w:ascii="Times New Roman;Times;serif" w:hAnsi="Times New Roman;Times;serif"/>
                <w:b w:val="false"/>
                <w:color w:val="000000"/>
                <w:sz w:val="18"/>
              </w:rPr>
              <w:t xml:space="preserve">Provides a focus on core operating results and represents a key basis for stock valuation </w:t>
            </w:r>
          </w:p>
          <w:p>
            <w:pPr>
              <w:pStyle w:val="TableContents"/>
              <w:bidi w:val="0"/>
              <w:spacing w:before="60" w:after="283"/>
              <w:ind w:left="0" w:right="0" w:hanging="0"/>
              <w:jc w:val="left"/>
              <w:rPr>
                <w:color w:val="000000"/>
              </w:rPr>
            </w:pPr>
            <w:r>
              <w:rPr>
                <w:color w:val="000000"/>
              </w:rPr>
              <w:t>⯀ </w:t>
            </w:r>
          </w:p>
          <w:p>
            <w:pPr>
              <w:pStyle w:val="TableContents"/>
              <w:bidi w:val="0"/>
              <w:spacing w:before="60" w:after="283"/>
              <w:jc w:val="left"/>
              <w:rPr>
                <w:rFonts w:ascii="Times New Roman;Times;serif" w:hAnsi="Times New Roman;Times;serif"/>
                <w:b w:val="false"/>
                <w:color w:val="000000"/>
                <w:sz w:val="18"/>
              </w:rPr>
            </w:pPr>
            <w:r>
              <w:rPr>
                <w:rFonts w:ascii="Times New Roman;Times;serif" w:hAnsi="Times New Roman;Times;serif"/>
                <w:b w:val="false"/>
                <w:color w:val="000000"/>
                <w:sz w:val="18"/>
              </w:rPr>
              <w:t xml:space="preserve">Is useful to investors in evaluating our operating performance because analysts and other parties use it as a measure of financial performance and debt service capabilities </w:t>
            </w:r>
          </w:p>
          <w:p>
            <w:pPr>
              <w:pStyle w:val="TableContents"/>
              <w:bidi w:val="0"/>
              <w:spacing w:before="60" w:after="283"/>
              <w:ind w:left="0" w:right="0" w:hanging="0"/>
              <w:jc w:val="left"/>
              <w:rPr>
                <w:color w:val="000000"/>
              </w:rPr>
            </w:pPr>
            <w:r>
              <w:rPr>
                <w:color w:val="000000"/>
              </w:rPr>
              <w:t>⯀ </w:t>
            </w:r>
          </w:p>
          <w:p>
            <w:pPr>
              <w:pStyle w:val="TableContents"/>
              <w:bidi w:val="0"/>
              <w:spacing w:before="60" w:after="283"/>
              <w:jc w:val="left"/>
              <w:rPr>
                <w:rFonts w:ascii="Times New Roman;Times;serif" w:hAnsi="Times New Roman;Times;serif"/>
                <w:b w:val="false"/>
                <w:color w:val="000000"/>
                <w:sz w:val="18"/>
              </w:rPr>
            </w:pPr>
            <w:r>
              <w:rPr>
                <w:rFonts w:ascii="Times New Roman;Times;serif" w:hAnsi="Times New Roman;Times;serif"/>
                <w:b w:val="false"/>
                <w:color w:val="000000"/>
                <w:sz w:val="18"/>
              </w:rPr>
              <w:t xml:space="preserve">Aligns with the Company’s long-term strategic plan (i.e., its commitments to investors) </w:t>
            </w:r>
          </w:p>
          <w:p>
            <w:pPr>
              <w:pStyle w:val="TableContents"/>
              <w:bidi w:val="0"/>
              <w:spacing w:before="60" w:after="283"/>
              <w:ind w:left="0" w:right="0" w:hanging="0"/>
              <w:jc w:val="left"/>
              <w:rPr>
                <w:color w:val="000000"/>
              </w:rPr>
            </w:pPr>
            <w:r>
              <w:rPr>
                <w:color w:val="000000"/>
              </w:rPr>
              <w:t>⯀ </w:t>
            </w:r>
          </w:p>
          <w:p>
            <w:pPr>
              <w:pStyle w:val="TableContents"/>
              <w:bidi w:val="0"/>
              <w:spacing w:before="60" w:after="283"/>
              <w:jc w:val="left"/>
              <w:rPr>
                <w:rFonts w:ascii="Times New Roman;Times;serif" w:hAnsi="Times New Roman;Times;serif"/>
                <w:b w:val="false"/>
                <w:color w:val="000000"/>
                <w:sz w:val="18"/>
              </w:rPr>
            </w:pPr>
            <w:r>
              <w:rPr>
                <w:rFonts w:ascii="Times New Roman;Times;serif" w:hAnsi="Times New Roman;Times;serif"/>
                <w:b w:val="false"/>
                <w:color w:val="000000"/>
                <w:sz w:val="18"/>
              </w:rPr>
              <w:t xml:space="preserve">Is regularly used by management for internal purposes including our capital budgeting process, evaluating acquisition targets and assessing performance </w:t>
            </w:r>
          </w:p>
          <w:p>
            <w:pPr>
              <w:pStyle w:val="TableContents"/>
              <w:bidi w:val="0"/>
              <w:spacing w:before="60" w:after="283"/>
              <w:ind w:left="0" w:right="0" w:hanging="0"/>
              <w:jc w:val="left"/>
              <w:rPr>
                <w:color w:val="000000"/>
              </w:rPr>
            </w:pPr>
            <w:r>
              <w:rPr>
                <w:color w:val="000000"/>
              </w:rPr>
              <w:t>⯀ </w:t>
            </w:r>
          </w:p>
          <w:p>
            <w:pPr>
              <w:pStyle w:val="TableContents"/>
              <w:bidi w:val="0"/>
              <w:spacing w:before="60" w:after="283"/>
              <w:jc w:val="left"/>
              <w:rPr>
                <w:rFonts w:ascii="Times New Roman;Times;serif" w:hAnsi="Times New Roman;Times;serif"/>
                <w:b w:val="false"/>
                <w:color w:val="000000"/>
                <w:sz w:val="18"/>
              </w:rPr>
            </w:pPr>
            <w:r>
              <w:rPr>
                <w:rFonts w:ascii="Times New Roman;Times;serif" w:hAnsi="Times New Roman;Times;serif"/>
                <w:b w:val="false"/>
                <w:color w:val="000000"/>
                <w:sz w:val="18"/>
              </w:rPr>
              <w:t xml:space="preserve">Is a common incentive and performance metric used by our peers and others in the convenience store industry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86"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Same-Store Sales Growth (Inside)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40%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63"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Same-Store Sales</w:t>
            </w:r>
            <w:r>
              <w:rPr>
                <w:rFonts w:ascii="Times New Roman;Times;serif" w:hAnsi="Times New Roman;Times;serif"/>
                <w:b w:val="false"/>
                <w:color w:val="000000"/>
                <w:sz w:val="18"/>
              </w:rPr>
              <w:t xml:space="preserve">: Same-store sales includes aggregated individual store results for all stores open throughout a particular period. When comparing annual data, the store must be open for each entire fiscal year being compared. Remodeled stores that remained open or were closed for just a very brief period of time (i.e., less than a week) during the period being compared remain in the same-store sales comparison. If a store is replaced, either at the same location (i.e., razed and rebuilt) or relocated to a new location, it is removed from the comparison until the new store has been open for each entire period being compared. Newly constructed and acquired stores do not enter the calculation until they are open for each entire period being compared. </w:t>
            </w:r>
          </w:p>
          <w:p>
            <w:pPr>
              <w:pStyle w:val="TableContents"/>
              <w:bidi w:val="0"/>
              <w:spacing w:before="12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Growth</w:t>
            </w:r>
            <w:r>
              <w:rPr>
                <w:rFonts w:ascii="Times New Roman;Times;serif" w:hAnsi="Times New Roman;Times;serif"/>
                <w:b w:val="false"/>
                <w:color w:val="000000"/>
                <w:sz w:val="18"/>
              </w:rPr>
              <w:t xml:space="preserve">: In the case of inside, the same-store sales growth metric is equal to the percentage increase in same-store sales from the prior fiscal year (i.e., the 2025 fiscal year), which is calculated based on each year’s revenue (i.e., dollars). </w:t>
            </w:r>
          </w:p>
          <w:p>
            <w:pPr>
              <w:pStyle w:val="TableContents"/>
              <w:bidi w:val="0"/>
              <w:spacing w:before="12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Inside</w:t>
            </w:r>
            <w:r>
              <w:rPr>
                <w:rFonts w:ascii="Times New Roman;Times;serif" w:hAnsi="Times New Roman;Times;serif"/>
                <w:b w:val="false"/>
                <w:color w:val="000000"/>
                <w:sz w:val="18"/>
              </w:rPr>
              <w:t>: Inside includes a combination of the Company’s “prepared food and dispensed beverage” and “grocery and general merchandise” categories, which historically have consisted of the Company’s highest margin products. Over the past three fiscal years, on average, these categories have accounted for approximately 36% of the Company’s total revenue but have resulted in approximately 63% of total gross profit.</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186"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363"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8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7" descr=""/>
                          <pic:cNvPicPr>
                            <a:picLocks noChangeAspect="1" noChangeArrowheads="1"/>
                          </pic:cNvPicPr>
                        </pic:nvPicPr>
                        <pic:blipFill>
                          <a:blip r:embed="rId88"/>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6" w:name="ny20072699x1_def14a_109-cda_pg9"/>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u w:val="single"/>
        </w:rPr>
        <w:t>Annual Incentive Goal Setting</w:t>
      </w:r>
      <w:r>
        <w:rPr>
          <w:rFonts w:ascii="Times New Roman;Times;serif" w:hAnsi="Times New Roman;Times;serif"/>
          <w:b/>
          <w:color w:val="000000"/>
          <w:sz w:val="20"/>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Each fiscal year, our CEO, CFO and other members of the management team prepare comprehensive strategic business goals and objectives in the form of an annual operating/financial plan (the “Operating Plan”), which is designed to ensure that short-term objectives are met or exceeded in a manner consistent with long-term shareholder value creation and our long-term strategic plan. The Committee, and ultimately the Board, reviews and approves the Operating Plan, typically in June of each year, and its pro forma results generally become the target performance levels for each AIP metric. The Committee then sets threshold and maximum performance goals, with the intent of providing reasonable upside opportunity and downside risk.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chart below summarizes the 2026 AIP performance goals that were established, which consisted of meaningful increases at target over the prior year’s goals (i.e., EBITDA, a 15.1% increased target goal, which was also 9.5% above 2025 fiscal year actual EBITDA performance, which was the highest in Company history), which the Committee believed were fair, yet challenging, to the NEOs and fair to the Company’s shareholders: </w:t>
      </w:r>
    </w:p>
    <w:tbl>
      <w:tblPr>
        <w:tblW w:w="7530" w:type="dxa"/>
        <w:jc w:val="left"/>
        <w:tblInd w:w="0" w:type="dxa"/>
        <w:tblLayout w:type="fixed"/>
        <w:tblCellMar>
          <w:top w:w="0" w:type="dxa"/>
          <w:left w:w="0" w:type="dxa"/>
          <w:bottom w:w="0" w:type="dxa"/>
          <w:right w:w="0" w:type="dxa"/>
        </w:tblCellMar>
      </w:tblPr>
      <w:tblGrid>
        <w:gridCol w:w="185"/>
        <w:gridCol w:w="2810"/>
        <w:gridCol w:w="170"/>
        <w:gridCol w:w="170"/>
        <w:gridCol w:w="1085"/>
        <w:gridCol w:w="170"/>
        <w:gridCol w:w="170"/>
        <w:gridCol w:w="1085"/>
        <w:gridCol w:w="170"/>
        <w:gridCol w:w="170"/>
        <w:gridCol w:w="1130"/>
        <w:gridCol w:w="215"/>
      </w:tblGrid>
      <w:tr>
        <w:trPr/>
        <w:tc>
          <w:tcPr>
            <w:tcW w:w="185" w:type="dxa"/>
            <w:tcBorders/>
            <w:shd w:fill="D9D9D9" w:val="clear"/>
            <w:vAlign w:val="center"/>
          </w:tcPr>
          <w:p>
            <w:pPr>
              <w:pStyle w:val="TableContents"/>
              <w:bidi w:val="0"/>
              <w:spacing w:before="0" w:after="0"/>
              <w:jc w:val="left"/>
              <w:rPr/>
            </w:pPr>
            <w:r>
              <w:rPr/>
              <w:t> </w:t>
            </w:r>
          </w:p>
        </w:tc>
        <w:tc>
          <w:tcPr>
            <w:tcW w:w="2810"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2810"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2026 AIP Metrics</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Threshold</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Target</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Maximum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810" w:type="dxa"/>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EBITDA</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$1,118 million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$1,315 million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$1,512 million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Same-Store Sales Growth (Inside)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0.5%</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3.5%</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6.5%</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81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Board, in approving the Operating Plan, and the Committee, in setting these goals, considered a number of factors, including the Company’s record financial results from the prior fiscal year, the lingering uncertainty and volatility created in the fuel market by geopolitical uncertainty, inflation, rising interest rates and their effect on the overall economy and consumer spending as a whole, consumer sentiment and behavior generally, and the other detailed information as presented in the Operating Plan, which included forecasts and best-estimates at the time related to the general economic outlook, consumer trends, guest mobility, macroeconomic factors and other related information.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u w:val="single"/>
        </w:rPr>
        <w:t>Annual Incentive Payout Levels</w:t>
      </w:r>
      <w:r>
        <w:rPr>
          <w:rFonts w:ascii="Times New Roman;Times;serif" w:hAnsi="Times New Roman;Times;serif"/>
          <w:b/>
          <w:color w:val="000000"/>
          <w:sz w:val="20"/>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As noted above, the potential payout under the AIP is represented as a percentage of base salary. The potential payout at target for the 2026 AIP for each NEO was as follows: </w:t>
      </w:r>
    </w:p>
    <w:tbl>
      <w:tblPr>
        <w:tblW w:w="8780" w:type="dxa"/>
        <w:jc w:val="left"/>
        <w:tblInd w:w="0" w:type="dxa"/>
        <w:tblLayout w:type="fixed"/>
        <w:tblCellMar>
          <w:top w:w="0" w:type="dxa"/>
          <w:left w:w="0" w:type="dxa"/>
          <w:bottom w:w="0" w:type="dxa"/>
          <w:right w:w="0" w:type="dxa"/>
        </w:tblCellMar>
      </w:tblPr>
      <w:tblGrid>
        <w:gridCol w:w="185"/>
        <w:gridCol w:w="170"/>
        <w:gridCol w:w="170"/>
        <w:gridCol w:w="2255"/>
        <w:gridCol w:w="170"/>
        <w:gridCol w:w="170"/>
        <w:gridCol w:w="3215"/>
        <w:gridCol w:w="170"/>
        <w:gridCol w:w="170"/>
        <w:gridCol w:w="1550"/>
        <w:gridCol w:w="170"/>
        <w:gridCol w:w="170"/>
        <w:gridCol w:w="2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215" w:type="dxa"/>
            <w:tcBorders>
              <w:bottom w:val="single" w:sz="8" w:space="0" w:color="000000"/>
            </w:tcBorders>
            <w:tcMar>
              <w:bottom w:w="55"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50" w:type="dxa"/>
            <w:tcBorders>
              <w:bottom w:val="single" w:sz="8" w:space="0" w:color="000000"/>
            </w:tcBorders>
            <w:tcMar>
              <w:bottom w:w="55"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55"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3215"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Target AIP Payout as a % of Base Salary</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550"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Target AIP Payout </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Darren M. Rebelez, CEO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215" w:type="dxa"/>
            <w:tcBorders>
              <w:bottom w:val="single" w:sz="8" w:space="0" w:color="000000"/>
            </w:tcBorders>
            <w:tcMar>
              <w:bottom w:w="55" w:type="dxa"/>
            </w:tcMar>
            <w:vAlign w:val="center"/>
          </w:tcPr>
          <w:p>
            <w:pPr>
              <w:pStyle w:val="TableContents"/>
              <w:bidi w:val="0"/>
              <w:spacing w:before="0" w:after="283"/>
              <w:ind w:left="1025" w:right="0" w:hanging="0"/>
              <w:jc w:val="left"/>
              <w:rPr>
                <w:rFonts w:ascii="Times New Roman;Times;serif" w:hAnsi="Times New Roman;Times;serif"/>
                <w:color w:val="000000"/>
                <w:sz w:val="18"/>
              </w:rPr>
            </w:pPr>
            <w:r>
              <w:rPr>
                <w:rFonts w:ascii="Times New Roman;Times;serif" w:hAnsi="Times New Roman;Times;serif"/>
                <w:color w:val="000000"/>
                <w:sz w:val="18"/>
              </w:rPr>
              <w:t>150%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5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$2,025,000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Stephen P. Bramlage, Jr., CFO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215" w:type="dxa"/>
            <w:tcBorders>
              <w:bottom w:val="single" w:sz="8" w:space="0" w:color="000000"/>
            </w:tcBorders>
            <w:tcMar>
              <w:bottom w:w="55" w:type="dxa"/>
            </w:tcMar>
            <w:vAlign w:val="center"/>
          </w:tcPr>
          <w:p>
            <w:pPr>
              <w:pStyle w:val="TableContents"/>
              <w:bidi w:val="0"/>
              <w:spacing w:before="0" w:after="283"/>
              <w:ind w:left="1025" w:right="0" w:hanging="0"/>
              <w:jc w:val="left"/>
              <w:rPr>
                <w:rFonts w:ascii="Times New Roman;Times;serif" w:hAnsi="Times New Roman;Times;serif"/>
                <w:color w:val="000000"/>
                <w:sz w:val="18"/>
              </w:rPr>
            </w:pPr>
            <w:r>
              <w:rPr>
                <w:rFonts w:ascii="Times New Roman;Times;serif" w:hAnsi="Times New Roman;Times;serif"/>
                <w:color w:val="000000"/>
                <w:sz w:val="18"/>
              </w:rPr>
              <w:t>100%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5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$810,000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Ena Williams, COO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215" w:type="dxa"/>
            <w:tcBorders>
              <w:bottom w:val="single" w:sz="8" w:space="0" w:color="000000"/>
            </w:tcBorders>
            <w:tcMar>
              <w:bottom w:w="55" w:type="dxa"/>
            </w:tcMar>
            <w:vAlign w:val="center"/>
          </w:tcPr>
          <w:p>
            <w:pPr>
              <w:pStyle w:val="TableContents"/>
              <w:bidi w:val="0"/>
              <w:spacing w:before="0" w:after="283"/>
              <w:ind w:left="1025" w:right="0" w:hanging="0"/>
              <w:jc w:val="left"/>
              <w:rPr>
                <w:rFonts w:ascii="Times New Roman;Times;serif" w:hAnsi="Times New Roman;Times;serif"/>
                <w:color w:val="000000"/>
                <w:sz w:val="18"/>
              </w:rPr>
            </w:pPr>
            <w:r>
              <w:rPr>
                <w:rFonts w:ascii="Times New Roman;Times;serif" w:hAnsi="Times New Roman;Times;serif"/>
                <w:color w:val="000000"/>
                <w:sz w:val="18"/>
              </w:rPr>
              <w:t>100%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5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$810,000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Thomas P. Brennan, Jr., CMO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215" w:type="dxa"/>
            <w:tcBorders>
              <w:bottom w:val="single" w:sz="8" w:space="0" w:color="000000"/>
            </w:tcBorders>
            <w:tcMar>
              <w:bottom w:w="55" w:type="dxa"/>
            </w:tcMar>
            <w:vAlign w:val="center"/>
          </w:tcPr>
          <w:p>
            <w:pPr>
              <w:pStyle w:val="TableContents"/>
              <w:bidi w:val="0"/>
              <w:spacing w:before="0" w:after="283"/>
              <w:ind w:left="1025" w:right="0" w:hanging="0"/>
              <w:jc w:val="left"/>
              <w:rPr>
                <w:rFonts w:ascii="Times New Roman;Times;serif" w:hAnsi="Times New Roman;Times;serif"/>
                <w:color w:val="000000"/>
                <w:sz w:val="18"/>
              </w:rPr>
            </w:pPr>
            <w:r>
              <w:rPr>
                <w:rFonts w:ascii="Times New Roman;Times;serif" w:hAnsi="Times New Roman;Times;serif"/>
                <w:color w:val="000000"/>
                <w:sz w:val="18"/>
              </w:rPr>
              <w:t>75%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5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$465,000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Chad M. Frazell, CHRO</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283"/>
              <w:ind w:left="1025" w:right="0" w:hanging="0"/>
              <w:jc w:val="left"/>
              <w:rPr>
                <w:rFonts w:ascii="Times New Roman;Times;serif" w:hAnsi="Times New Roman;Times;serif"/>
                <w:color w:val="000000"/>
                <w:sz w:val="18"/>
              </w:rPr>
            </w:pPr>
            <w:r>
              <w:rPr>
                <w:rFonts w:ascii="Times New Roman;Times;serif" w:hAnsi="Times New Roman;Times;serif"/>
                <w:color w:val="000000"/>
                <w:sz w:val="18"/>
              </w:rPr>
              <w:t>75%</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$435,000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385" w:type="dxa"/>
            <w:gridSpan w:val="2"/>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21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5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385" w:type="dxa"/>
            <w:gridSpan w:val="2"/>
            <w:tcBorders/>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target is then applied against each of the following individual percentages, which correspond to the achievement of the 2026 AIP performance goals, set forth above. The following table reflects the weighting of each performance metric: </w:t>
      </w:r>
    </w:p>
    <w:tbl>
      <w:tblPr>
        <w:tblW w:w="7805" w:type="dxa"/>
        <w:jc w:val="left"/>
        <w:tblInd w:w="0" w:type="dxa"/>
        <w:tblLayout w:type="fixed"/>
        <w:tblCellMar>
          <w:top w:w="0" w:type="dxa"/>
          <w:left w:w="0" w:type="dxa"/>
          <w:bottom w:w="0" w:type="dxa"/>
          <w:right w:w="0" w:type="dxa"/>
        </w:tblCellMar>
      </w:tblPr>
      <w:tblGrid>
        <w:gridCol w:w="365"/>
        <w:gridCol w:w="170"/>
        <w:gridCol w:w="170"/>
        <w:gridCol w:w="3230"/>
        <w:gridCol w:w="170"/>
        <w:gridCol w:w="170"/>
        <w:gridCol w:w="845"/>
        <w:gridCol w:w="170"/>
        <w:gridCol w:w="170"/>
        <w:gridCol w:w="560"/>
        <w:gridCol w:w="170"/>
        <w:gridCol w:w="170"/>
        <w:gridCol w:w="890"/>
        <w:gridCol w:w="170"/>
        <w:gridCol w:w="170"/>
        <w:gridCol w:w="215"/>
      </w:tblGrid>
      <w:tr>
        <w:trPr/>
        <w:tc>
          <w:tcPr>
            <w:tcW w:w="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45"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45" w:type="dxa"/>
            <w:gridSpan w:val="10"/>
            <w:tcBorders>
              <w:bottom w:val="single" w:sz="8" w:space="0" w:color="000000"/>
            </w:tcBorders>
            <w:tcMar>
              <w:bottom w:w="55"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color w:val="000000"/>
              </w:rPr>
            </w:pPr>
            <w:r>
              <w:rPr>
                <w:color w:val="000000"/>
              </w:rPr>
              <w:t> </w:t>
            </w:r>
          </w:p>
        </w:tc>
      </w:tr>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6545" w:type="dxa"/>
            <w:gridSpan w:val="10"/>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Payout Formula (as a % of target payout) </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ind w:left="480" w:right="0" w:hanging="0"/>
              <w:jc w:val="left"/>
              <w:rPr>
                <w:color w:val="000000"/>
              </w:rPr>
            </w:pPr>
            <w:r>
              <w:rPr>
                <w:color w:val="000000"/>
              </w:rPr>
              <w:t> </w:t>
            </w:r>
          </w:p>
        </w:tc>
      </w:tr>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3230" w:type="dxa"/>
            <w:tcBorders>
              <w:bottom w:val="single" w:sz="8" w:space="0" w:color="000000"/>
            </w:tcBorders>
            <w:shd w:fill="F2F2F2"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2026 AIP Metrics</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845" w:type="dxa"/>
            <w:tcBorders>
              <w:bottom w:val="single" w:sz="8" w:space="0" w:color="000000"/>
            </w:tcBorders>
            <w:shd w:fill="F2F2F2" w:val="clear"/>
            <w:tcMar>
              <w:bottom w:w="55" w:type="dxa"/>
            </w:tcMar>
            <w:vAlign w:val="center"/>
          </w:tcPr>
          <w:p>
            <w:pPr>
              <w:pStyle w:val="TableContents"/>
              <w:bidi w:val="0"/>
              <w:spacing w:before="0" w:after="283"/>
              <w:ind w:left="447" w:right="0" w:hanging="0"/>
              <w:jc w:val="left"/>
              <w:rPr>
                <w:rFonts w:ascii="Times New Roman;Times;serif" w:hAnsi="Times New Roman;Times;serif"/>
                <w:b/>
                <w:color w:val="000000"/>
                <w:sz w:val="18"/>
              </w:rPr>
            </w:pPr>
            <w:r>
              <w:rPr>
                <w:rFonts w:ascii="Times New Roman;Times;serif" w:hAnsi="Times New Roman;Times;serif"/>
                <w:b/>
                <w:color w:val="000000"/>
                <w:sz w:val="18"/>
              </w:rPr>
              <w:t>Threshold</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F2F2F2" w:val="clear"/>
            <w:tcMar>
              <w:bottom w:w="55" w:type="dxa"/>
            </w:tcMar>
            <w:vAlign w:val="center"/>
          </w:tcPr>
          <w:p>
            <w:pPr>
              <w:pStyle w:val="TableContents"/>
              <w:bidi w:val="0"/>
              <w:spacing w:before="0" w:after="283"/>
              <w:ind w:left="588" w:right="0" w:hanging="0"/>
              <w:jc w:val="left"/>
              <w:rPr>
                <w:rFonts w:ascii="Times New Roman;Times;serif" w:hAnsi="Times New Roman;Times;serif"/>
                <w:b/>
                <w:color w:val="000000"/>
                <w:sz w:val="18"/>
              </w:rPr>
            </w:pPr>
            <w:r>
              <w:rPr>
                <w:rFonts w:ascii="Times New Roman;Times;serif" w:hAnsi="Times New Roman;Times;serif"/>
                <w:b/>
                <w:color w:val="000000"/>
                <w:sz w:val="18"/>
              </w:rPr>
              <w:t>Target</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890" w:type="dxa"/>
            <w:tcBorders>
              <w:bottom w:val="single" w:sz="8" w:space="0" w:color="000000"/>
            </w:tcBorders>
            <w:shd w:fill="F2F2F2" w:val="clear"/>
            <w:tcMar>
              <w:bottom w:w="55" w:type="dxa"/>
            </w:tcMar>
            <w:vAlign w:val="center"/>
          </w:tcPr>
          <w:p>
            <w:pPr>
              <w:pStyle w:val="TableContents"/>
              <w:bidi w:val="0"/>
              <w:spacing w:before="0" w:after="283"/>
              <w:ind w:left="44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Maximum </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ind w:left="480" w:right="0" w:hanging="0"/>
              <w:jc w:val="left"/>
              <w:rPr>
                <w:color w:val="000000"/>
              </w:rPr>
            </w:pPr>
            <w:r>
              <w:rPr>
                <w:color w:val="000000"/>
              </w:rPr>
              <w:t> </w:t>
            </w:r>
          </w:p>
        </w:tc>
      </w:tr>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230"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EBITDA</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4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60%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120%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color w:val="000000"/>
              </w:rPr>
            </w:pPr>
            <w:r>
              <w:rPr>
                <w:color w:val="000000"/>
              </w:rPr>
              <w:t> </w:t>
            </w:r>
          </w:p>
        </w:tc>
      </w:tr>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230"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Same-Store Sales Growth (Inside Sales)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4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40%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80%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385" w:type="dxa"/>
            <w:gridSpan w:val="2"/>
            <w:tcBorders/>
          </w:tcPr>
          <w:p>
            <w:pPr>
              <w:pStyle w:val="TableContents"/>
              <w:bidi w:val="0"/>
              <w:spacing w:before="0" w:after="283"/>
              <w:jc w:val="left"/>
              <w:rPr>
                <w:sz w:val="4"/>
                <w:szCs w:val="4"/>
              </w:rPr>
            </w:pPr>
            <w:r>
              <w:rPr>
                <w:sz w:val="4"/>
                <w:szCs w:val="4"/>
              </w:rPr>
            </w:r>
          </w:p>
        </w:tc>
      </w:tr>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center"/>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845"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25%</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100%</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890"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200%</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center"/>
              <w:rPr>
                <w:color w:val="000000"/>
              </w:rPr>
            </w:pPr>
            <w:r>
              <w:rPr>
                <w:color w:val="000000"/>
              </w:rPr>
              <w:t> </w:t>
            </w:r>
          </w:p>
        </w:tc>
      </w:tr>
      <w:tr>
        <w:trPr/>
        <w:tc>
          <w:tcPr>
            <w:tcW w:w="365"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700" w:type="dxa"/>
            <w:gridSpan w:val="11"/>
            <w:tcBorders/>
          </w:tcPr>
          <w:p>
            <w:pPr>
              <w:pStyle w:val="TableContents"/>
              <w:bidi w:val="0"/>
              <w:spacing w:before="0" w:after="283"/>
              <w:jc w:val="left"/>
              <w:rPr>
                <w:sz w:val="4"/>
                <w:szCs w:val="4"/>
              </w:rPr>
            </w:pPr>
            <w:r>
              <w:rPr>
                <w:sz w:val="4"/>
                <w:szCs w:val="4"/>
              </w:rPr>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9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8" descr=""/>
                          <pic:cNvPicPr>
                            <a:picLocks noChangeAspect="1" noChangeArrowheads="1"/>
                          </pic:cNvPicPr>
                        </pic:nvPicPr>
                        <pic:blipFill>
                          <a:blip r:embed="rId89"/>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7" w:name="ny20072699x1_def14a_109-cda_pg10"/>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u w:val="single"/>
        </w:rPr>
        <w:t>2026 Fiscal Year AIP Results</w:t>
      </w:r>
      <w:r>
        <w:rPr>
          <w:rFonts w:ascii="Times New Roman;Times;serif" w:hAnsi="Times New Roman;Times;serif"/>
          <w:b/>
          <w:color w:val="000000"/>
          <w:sz w:val="20"/>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As highlighted above, the Company achieved record financial performance during its 2026 fiscal year, including record EBITDA of nearly $1.5 billion (up 23% for the year) and a same-store inside sales increase of 4.2%, each notable achievements considering the Company’s record performance the prior three years and the other significant factors mentioned above that were considered when setting the 2026 AIP performance goals. As a result, the NEOs achieved an AIP payout equal to 161% of their respective target.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chart below summarizes the 2026 AIP performance goals compared to the actual results in each respective category and the corresponding payout as a percentage of the target base salary: </w:t>
      </w:r>
    </w:p>
    <w:tbl>
      <w:tblPr>
        <w:tblW w:w="10205" w:type="dxa"/>
        <w:jc w:val="left"/>
        <w:tblInd w:w="0" w:type="dxa"/>
        <w:tblLayout w:type="fixed"/>
        <w:tblCellMar>
          <w:top w:w="0" w:type="dxa"/>
          <w:left w:w="0" w:type="dxa"/>
          <w:bottom w:w="0" w:type="dxa"/>
          <w:right w:w="0" w:type="dxa"/>
        </w:tblCellMar>
      </w:tblPr>
      <w:tblGrid>
        <w:gridCol w:w="350"/>
        <w:gridCol w:w="170"/>
        <w:gridCol w:w="170"/>
        <w:gridCol w:w="2332"/>
        <w:gridCol w:w="170"/>
        <w:gridCol w:w="170"/>
        <w:gridCol w:w="1085"/>
        <w:gridCol w:w="170"/>
        <w:gridCol w:w="170"/>
        <w:gridCol w:w="1085"/>
        <w:gridCol w:w="170"/>
        <w:gridCol w:w="170"/>
        <w:gridCol w:w="1025"/>
        <w:gridCol w:w="170"/>
        <w:gridCol w:w="170"/>
        <w:gridCol w:w="992"/>
        <w:gridCol w:w="170"/>
        <w:gridCol w:w="170"/>
        <w:gridCol w:w="818"/>
        <w:gridCol w:w="170"/>
        <w:gridCol w:w="170"/>
        <w:gridCol w:w="138"/>
      </w:tblGrid>
      <w:tr>
        <w:trPr/>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37" w:type="dxa"/>
            <w:gridSpan w:val="16"/>
            <w:tcBorders>
              <w:bottom w:val="single" w:sz="8" w:space="0" w:color="000000"/>
            </w:tcBorders>
            <w:tcMar>
              <w:bottom w:w="55"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 w:type="dxa"/>
            <w:tcBorders/>
            <w:vAlign w:val="center"/>
          </w:tcPr>
          <w:p>
            <w:pPr>
              <w:pStyle w:val="TableContents"/>
              <w:bidi w:val="0"/>
              <w:spacing w:before="0" w:after="0"/>
              <w:jc w:val="center"/>
              <w:rPr>
                <w:color w:val="000000"/>
              </w:rPr>
            </w:pPr>
            <w:r>
              <w:rPr>
                <w:color w:val="000000"/>
              </w:rPr>
              <w:t> </w:t>
            </w:r>
          </w:p>
        </w:tc>
      </w:tr>
      <w:tr>
        <w:trPr/>
        <w:tc>
          <w:tcPr>
            <w:tcW w:w="350"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037" w:type="dxa"/>
            <w:gridSpan w:val="16"/>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AIP Performance Goals v. 2026 Fiscal Year Actual Results </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 w:type="dxa"/>
            <w:tcBorders/>
            <w:vAlign w:val="center"/>
          </w:tcPr>
          <w:p>
            <w:pPr>
              <w:pStyle w:val="TableContents"/>
              <w:bidi w:val="0"/>
              <w:spacing w:before="0" w:after="283"/>
              <w:ind w:left="40" w:right="0" w:hanging="0"/>
              <w:jc w:val="left"/>
              <w:rPr>
                <w:color w:val="000000"/>
              </w:rPr>
            </w:pPr>
            <w:r>
              <w:rPr>
                <w:color w:val="000000"/>
              </w:rPr>
              <w:t> </w:t>
            </w:r>
          </w:p>
        </w:tc>
      </w:tr>
      <w:tr>
        <w:trPr/>
        <w:tc>
          <w:tcPr>
            <w:tcW w:w="350"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32"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2026 AIP Metrics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Threshold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Target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Maximum</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92"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FY26 Actual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Results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8"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FY26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Weighted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Payout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 w:type="dxa"/>
            <w:tcBorders/>
            <w:vAlign w:val="center"/>
          </w:tcPr>
          <w:p>
            <w:pPr>
              <w:pStyle w:val="TableContents"/>
              <w:bidi w:val="0"/>
              <w:spacing w:before="0" w:after="283"/>
              <w:jc w:val="center"/>
              <w:rPr>
                <w:color w:val="000000"/>
              </w:rPr>
            </w:pPr>
            <w:r>
              <w:rPr>
                <w:color w:val="000000"/>
              </w:rPr>
              <w:t> </w:t>
            </w:r>
          </w:p>
        </w:tc>
      </w:tr>
      <w:tr>
        <w:trPr/>
        <w:tc>
          <w:tcPr>
            <w:tcW w:w="350"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32"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EBITDA</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$1,118 million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$1,315 million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$1,512 million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92"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$1,484 million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8"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112%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 w:type="dxa"/>
            <w:tcBorders/>
            <w:vAlign w:val="center"/>
          </w:tcPr>
          <w:p>
            <w:pPr>
              <w:pStyle w:val="TableContents"/>
              <w:bidi w:val="0"/>
              <w:spacing w:before="0" w:after="0"/>
              <w:jc w:val="center"/>
              <w:rPr>
                <w:color w:val="000000"/>
              </w:rPr>
            </w:pPr>
            <w:r>
              <w:rPr>
                <w:color w:val="000000"/>
              </w:rPr>
              <w:t> </w:t>
            </w:r>
          </w:p>
        </w:tc>
      </w:tr>
      <w:tr>
        <w:trPr/>
        <w:tc>
          <w:tcPr>
            <w:tcW w:w="350"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32"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Same-Store Sales Growth (Inside)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0.5%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3.5%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6.5%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92"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4.2%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8"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49%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 w:type="dxa"/>
            <w:tcBorders/>
            <w:vAlign w:val="center"/>
          </w:tcPr>
          <w:p>
            <w:pPr>
              <w:pStyle w:val="TableContents"/>
              <w:bidi w:val="0"/>
              <w:spacing w:before="0" w:after="0"/>
              <w:jc w:val="center"/>
              <w:rPr>
                <w:color w:val="000000"/>
              </w:rPr>
            </w:pPr>
            <w:r>
              <w:rPr>
                <w:color w:val="000000"/>
              </w:rPr>
              <w:t> </w:t>
            </w:r>
          </w:p>
        </w:tc>
      </w:tr>
      <w:tr>
        <w:trPr/>
        <w:tc>
          <w:tcPr>
            <w:tcW w:w="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center"/>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818"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161%</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 w:type="dxa"/>
            <w:tcBorders/>
            <w:vAlign w:val="center"/>
          </w:tcPr>
          <w:p>
            <w:pPr>
              <w:pStyle w:val="TableContents"/>
              <w:bidi w:val="0"/>
              <w:spacing w:before="0" w:after="283"/>
              <w:jc w:val="center"/>
              <w:rPr>
                <w:color w:val="000000"/>
              </w:rPr>
            </w:pPr>
            <w:r>
              <w:rPr>
                <w:color w:val="000000"/>
              </w:rPr>
              <w:t> </w:t>
            </w:r>
          </w:p>
        </w:tc>
      </w:tr>
      <w:tr>
        <w:trPr/>
        <w:tc>
          <w:tcPr>
            <w:tcW w:w="3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7013" w:type="dxa"/>
            <w:gridSpan w:val="17"/>
            <w:tcBorders/>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As such, the aggregate payout under the 2026 AIP for each NEO is equal to 161% of their respective target payout, resulting in the following payments: </w:t>
      </w:r>
    </w:p>
    <w:tbl>
      <w:tblPr>
        <w:tblW w:w="9135" w:type="dxa"/>
        <w:jc w:val="left"/>
        <w:tblInd w:w="0" w:type="dxa"/>
        <w:tblLayout w:type="fixed"/>
        <w:tblCellMar>
          <w:top w:w="0" w:type="dxa"/>
          <w:left w:w="0" w:type="dxa"/>
          <w:bottom w:w="0" w:type="dxa"/>
          <w:right w:w="0" w:type="dxa"/>
        </w:tblCellMar>
      </w:tblPr>
      <w:tblGrid>
        <w:gridCol w:w="365"/>
        <w:gridCol w:w="170"/>
        <w:gridCol w:w="170"/>
        <w:gridCol w:w="2255"/>
        <w:gridCol w:w="170"/>
        <w:gridCol w:w="170"/>
        <w:gridCol w:w="1910"/>
        <w:gridCol w:w="170"/>
        <w:gridCol w:w="170"/>
        <w:gridCol w:w="815"/>
        <w:gridCol w:w="170"/>
        <w:gridCol w:w="170"/>
        <w:gridCol w:w="1955"/>
        <w:gridCol w:w="170"/>
        <w:gridCol w:w="170"/>
        <w:gridCol w:w="135"/>
      </w:tblGrid>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10" w:type="dxa"/>
            <w:tcBorders>
              <w:bottom w:val="single" w:sz="8" w:space="0" w:color="000000"/>
            </w:tcBorders>
            <w:tcMar>
              <w:bottom w:w="55"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55"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55" w:type="dxa"/>
            <w:tcBorders>
              <w:bottom w:val="single" w:sz="8" w:space="0" w:color="000000"/>
            </w:tcBorders>
            <w:tcMar>
              <w:bottom w:w="55"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center"/>
              <w:rPr>
                <w:color w:val="000000"/>
              </w:rPr>
            </w:pPr>
            <w:r>
              <w:rPr>
                <w:color w:val="000000"/>
              </w:rPr>
              <w:t> </w:t>
            </w:r>
          </w:p>
        </w:tc>
      </w:tr>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55"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910"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2026 AIP Target Payout</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815"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Payout %</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955"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2026 AIP Actual Payout </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283"/>
              <w:jc w:val="center"/>
              <w:rPr>
                <w:color w:val="000000"/>
              </w:rPr>
            </w:pPr>
            <w:r>
              <w:rPr>
                <w:color w:val="000000"/>
              </w:rPr>
              <w:t> </w:t>
            </w:r>
          </w:p>
        </w:tc>
      </w:tr>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Darren M. Rebelez, CEO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1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$2,025,000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161%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5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$3,260,250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center"/>
              <w:rPr>
                <w:color w:val="000000"/>
              </w:rPr>
            </w:pPr>
            <w:r>
              <w:rPr>
                <w:color w:val="000000"/>
              </w:rPr>
              <w:t> </w:t>
            </w:r>
          </w:p>
        </w:tc>
      </w:tr>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Stephen P. Bramlage, Jr., CFO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1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$810,000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161%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5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$1,304,100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center"/>
              <w:rPr>
                <w:color w:val="000000"/>
              </w:rPr>
            </w:pPr>
            <w:r>
              <w:rPr>
                <w:color w:val="000000"/>
              </w:rPr>
              <w:t> </w:t>
            </w:r>
          </w:p>
        </w:tc>
      </w:tr>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Ena Williams, COO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1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$810,000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161%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5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$1,304,100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center"/>
              <w:rPr>
                <w:color w:val="000000"/>
              </w:rPr>
            </w:pPr>
            <w:r>
              <w:rPr>
                <w:color w:val="000000"/>
              </w:rPr>
              <w:t> </w:t>
            </w:r>
          </w:p>
        </w:tc>
      </w:tr>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Thomas P. Brennan, Jr., CMO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1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$465,000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161%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5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$748,650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center"/>
              <w:rPr>
                <w:color w:val="000000"/>
              </w:rPr>
            </w:pPr>
            <w:r>
              <w:rPr>
                <w:color w:val="000000"/>
              </w:rPr>
              <w:t> </w:t>
            </w:r>
          </w:p>
        </w:tc>
      </w:tr>
      <w:tr>
        <w:trPr/>
        <w:tc>
          <w:tcPr>
            <w:tcW w:w="36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Chad M. Frazell, CHRO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1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$435,000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161%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5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$700,350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center"/>
              <w:rPr>
                <w:color w:val="000000"/>
              </w:rPr>
            </w:pPr>
            <w:r>
              <w:rPr>
                <w:color w:val="000000"/>
              </w:rPr>
              <w:t> </w:t>
            </w:r>
          </w:p>
        </w:tc>
      </w:tr>
      <w:tr>
        <w:trPr/>
        <w:tc>
          <w:tcPr>
            <w:tcW w:w="365"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6005" w:type="dxa"/>
            <w:gridSpan w:val="11"/>
            <w:tcBorders/>
          </w:tcPr>
          <w:p>
            <w:pPr>
              <w:pStyle w:val="TableContents"/>
              <w:bidi w:val="0"/>
              <w:spacing w:before="0" w:after="283"/>
              <w:jc w:val="left"/>
              <w:rPr>
                <w:sz w:val="4"/>
                <w:szCs w:val="4"/>
              </w:rPr>
            </w:pPr>
            <w:r>
              <w:rPr>
                <w:sz w:val="4"/>
                <w:szCs w:val="4"/>
              </w:rPr>
            </w:r>
          </w:p>
        </w:tc>
      </w:tr>
    </w:tbl>
    <w:p>
      <w:pPr>
        <w:pStyle w:val="TextBody"/>
        <w:bidi w:val="0"/>
        <w:spacing w:before="250" w:after="283"/>
        <w:jc w:val="center"/>
        <w:rPr>
          <w:rFonts w:ascii="Times New Roman;Times;serif" w:hAnsi="Times New Roman;Times;serif"/>
          <w:b/>
          <w:color w:val="000000"/>
          <w:sz w:val="20"/>
        </w:rPr>
      </w:pPr>
      <w:r>
        <w:rPr>
          <w:rFonts w:ascii="Times New Roman;Times;serif" w:hAnsi="Times New Roman;Times;serif"/>
          <w:b/>
          <w:color w:val="000000"/>
          <w:sz w:val="20"/>
          <w:u w:val="single"/>
        </w:rPr>
        <w:t>Five-Year AIP Payout History (as a percentage of target)</w:t>
      </w:r>
      <w:r>
        <w:rPr>
          <w:rFonts w:ascii="Times New Roman;Times;serif" w:hAnsi="Times New Roman;Times;serif"/>
          <w:b/>
          <w:color w:val="000000"/>
          <w:sz w:val="20"/>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AIP, over the past five fiscal years, has resulted in the following payments to the respective NEOs as a percentage of their target for that particular fiscal year, resulting in a five-year average payout of 159% of target: 2022 (188%), 2023 (178%), 2024 (157%), 2025 (109%), and 2026 (161%). </w:t>
      </w:r>
    </w:p>
    <w:p>
      <w:pPr>
        <w:pStyle w:val="TextBody"/>
        <w:bidi w:val="0"/>
        <w:spacing w:before="29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Long-Term Incentive Compensation Program</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 significant portion of NEO compensation is delivered through equity awards, in the form of restricted stock units (“RSUs”) and performance-based restricted stock units (“PSUs”), granted annually under the Company’s long-term incentive compensation program (the “LTIP”). The Committee did not make any changes to the structure or the metrics included in the LTIP for the 2026 fiscal year, and believes this consistency is an important factor in motivating the NEOs to deliver long-term financial performance under the LTIP’s key financial and operational metrics.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u w:val="single"/>
        </w:rPr>
        <w:t>Long-Term Incentive Structure</w:t>
      </w:r>
      <w:r>
        <w:rPr>
          <w:rFonts w:ascii="Times New Roman;Times;serif" w:hAnsi="Times New Roman;Times;serif"/>
          <w:b/>
          <w:color w:val="000000"/>
          <w:sz w:val="20"/>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For the 2026 fiscal year, and which has been the Company’s recent practice, 75% of the LTIP was granted in the form of PSUs, with half subject to performance goals based on EBITDA and half subject to performance goals based on return on invested capital (“ROIC”), and 25% of the LTIP was granted in the form of time-based RSUs.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The PSUs result in zero payout if the Company does not achieve its threshold EBITDA and ROIC performance goals over the three-year performance period (i.e., 2026-2028 fiscal years) (the “Performance Period”) and 200% payout if the Company achieves applicable performance goals at maximum levels.</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9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9" descr=""/>
                          <pic:cNvPicPr>
                            <a:picLocks noChangeAspect="1" noChangeArrowheads="1"/>
                          </pic:cNvPicPr>
                        </pic:nvPicPr>
                        <pic:blipFill>
                          <a:blip r:embed="rId90"/>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8" w:name="ny20072699x1_def14a_109-cda_pg11"/>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Following the determination of EBITDA and ROIC goals for the Performance Period, the PSUs actually awarded will be subject to a positive or negative adjustment based upon a comparison of the Company’s TSR relative to the TSR Peer Group (i.e., S&amp;P 500). If the Company ranks in the bottom quartile of the group, the number of PSUs actually awarded will be reduced by 25%, and if the Company ranks in the top quartile of the group, the number of PSUs actually awarded will be increased by 25% (which, based on maximum performance goals achieved, could result in a payment of up to 250% of target for PSUs) (the “TSR Modifier”). </w:t>
      </w:r>
    </w:p>
    <w:tbl>
      <w:tblPr>
        <w:tblW w:w="10205" w:type="dxa"/>
        <w:jc w:val="left"/>
        <w:tblInd w:w="0" w:type="dxa"/>
        <w:tblLayout w:type="fixed"/>
        <w:tblCellMar>
          <w:top w:w="0" w:type="dxa"/>
          <w:left w:w="0" w:type="dxa"/>
          <w:bottom w:w="0" w:type="dxa"/>
          <w:right w:w="0" w:type="dxa"/>
        </w:tblCellMar>
      </w:tblPr>
      <w:tblGrid>
        <w:gridCol w:w="185"/>
        <w:gridCol w:w="1000"/>
        <w:gridCol w:w="170"/>
        <w:gridCol w:w="170"/>
        <w:gridCol w:w="597"/>
        <w:gridCol w:w="170"/>
        <w:gridCol w:w="170"/>
        <w:gridCol w:w="477"/>
        <w:gridCol w:w="170"/>
        <w:gridCol w:w="170"/>
        <w:gridCol w:w="621"/>
        <w:gridCol w:w="179"/>
        <w:gridCol w:w="179"/>
        <w:gridCol w:w="574"/>
        <w:gridCol w:w="179"/>
        <w:gridCol w:w="179"/>
        <w:gridCol w:w="429"/>
        <w:gridCol w:w="179"/>
        <w:gridCol w:w="179"/>
        <w:gridCol w:w="794"/>
        <w:gridCol w:w="170"/>
        <w:gridCol w:w="170"/>
        <w:gridCol w:w="2875"/>
        <w:gridCol w:w="219"/>
      </w:tblGrid>
      <w:tr>
        <w:trPr/>
        <w:tc>
          <w:tcPr>
            <w:tcW w:w="185" w:type="dxa"/>
            <w:tcBorders/>
            <w:shd w:fill="D9D9D9" w:val="clear"/>
            <w:vAlign w:val="center"/>
          </w:tcPr>
          <w:p>
            <w:pPr>
              <w:pStyle w:val="TableContents"/>
              <w:bidi w:val="0"/>
              <w:spacing w:before="0" w:after="0"/>
              <w:jc w:val="left"/>
              <w:rPr/>
            </w:pPr>
            <w:r>
              <w:rPr/>
              <w:t> </w:t>
            </w:r>
          </w:p>
        </w:tc>
        <w:tc>
          <w:tcPr>
            <w:tcW w:w="1000"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97"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7" w:type="dxa"/>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492" w:type="dxa"/>
            <w:gridSpan w:val="10"/>
            <w:tcBorders/>
            <w:shd w:fill="D9D9D9" w:val="clear"/>
            <w:vAlign w:val="center"/>
          </w:tcPr>
          <w:p>
            <w:pPr>
              <w:pStyle w:val="TableContents"/>
              <w:bidi w:val="0"/>
              <w:spacing w:before="0" w:after="0"/>
              <w:jc w:val="left"/>
              <w:rPr/>
            </w:pPr>
            <w:r>
              <w:rPr/>
              <w:t> </w:t>
            </w:r>
          </w:p>
        </w:tc>
        <w:tc>
          <w:tcPr>
            <w:tcW w:w="170" w:type="dxa"/>
            <w:tcBorders>
              <w:right w:val="single" w:sz="8" w:space="0" w:color="000000"/>
            </w:tcBorders>
            <w:shd w:fill="D9D9D9" w:val="clear"/>
            <w:tcMar>
              <w:right w:w="28" w:type="dxa"/>
            </w:tcM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875" w:type="dxa"/>
            <w:tcBorders/>
            <w:shd w:fill="D9D9D9" w:val="clear"/>
            <w:vAlign w:val="center"/>
          </w:tcPr>
          <w:p>
            <w:pPr>
              <w:pStyle w:val="TableContents"/>
              <w:bidi w:val="0"/>
              <w:spacing w:before="0" w:after="0"/>
              <w:jc w:val="left"/>
              <w:rPr/>
            </w:pPr>
            <w:r>
              <w:rPr/>
              <w:t> </w:t>
            </w:r>
          </w:p>
        </w:tc>
        <w:tc>
          <w:tcPr>
            <w:tcW w:w="219" w:type="dxa"/>
            <w:tcBorders/>
            <w:shd w:fill="D9D9D9" w:val="clear"/>
            <w:vAlign w:val="center"/>
          </w:tcPr>
          <w:p>
            <w:pPr>
              <w:pStyle w:val="TableContents"/>
              <w:bidi w:val="0"/>
              <w:spacing w:before="0" w:after="0"/>
              <w:jc w:val="left"/>
              <w:rPr/>
            </w:pPr>
            <w:r>
              <w:rPr/>
              <w:t> </w:t>
            </w:r>
          </w:p>
        </w:tc>
      </w:tr>
      <w:tr>
        <w:trPr/>
        <w:tc>
          <w:tcPr>
            <w:tcW w:w="185" w:type="dxa"/>
            <w:vMerge w:val="restart"/>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000" w:type="dxa"/>
            <w:vMerge w:val="restart"/>
            <w:tcBorders>
              <w:bottom w:val="single" w:sz="8" w:space="0" w:color="000000"/>
            </w:tcBorders>
            <w:shd w:fill="D9D9D9" w:val="clear"/>
            <w:tcMar>
              <w:bottom w:w="5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2026 LTIP Metrics</w:t>
            </w:r>
          </w:p>
        </w:tc>
        <w:tc>
          <w:tcPr>
            <w:tcW w:w="170" w:type="dxa"/>
            <w:vMerge w:val="restart"/>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97" w:type="dxa"/>
            <w:vMerge w:val="restart"/>
            <w:tcBorders>
              <w:bottom w:val="single" w:sz="8" w:space="0" w:color="000000"/>
            </w:tcBorders>
            <w:shd w:fill="D9D9D9" w:val="clear"/>
            <w:tcMar>
              <w:bottom w:w="5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Award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Type</w:t>
            </w:r>
          </w:p>
        </w:tc>
        <w:tc>
          <w:tcPr>
            <w:tcW w:w="170" w:type="dxa"/>
            <w:vMerge w:val="restart"/>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477" w:type="dxa"/>
            <w:vMerge w:val="restart"/>
            <w:tcBorders>
              <w:bottom w:val="single" w:sz="8" w:space="0" w:color="000000"/>
            </w:tcBorders>
            <w:shd w:fill="D9D9D9" w:val="clear"/>
            <w:tcMar>
              <w:bottom w:w="5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 of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LTIP</w:t>
            </w:r>
          </w:p>
        </w:tc>
        <w:tc>
          <w:tcPr>
            <w:tcW w:w="170" w:type="dxa"/>
            <w:vMerge w:val="restart"/>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3492" w:type="dxa"/>
            <w:gridSpan w:val="10"/>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Payout Range</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2875" w:type="dxa"/>
            <w:vMerge w:val="restart"/>
            <w:tcBorders>
              <w:bottom w:val="single" w:sz="8" w:space="0" w:color="000000"/>
            </w:tcBorders>
            <w:shd w:fill="D9D9D9" w:val="clear"/>
            <w:tcMar>
              <w:bottom w:w="5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Vesting </w:t>
            </w:r>
          </w:p>
        </w:tc>
        <w:tc>
          <w:tcPr>
            <w:tcW w:w="219" w:type="dxa"/>
            <w:vMerge w:val="restart"/>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D9D9D9" w:val="clear"/>
            <w:tcMar>
              <w:bottom w:w="28" w:type="dxa"/>
            </w:tcMar>
            <w:vAlign w:val="center"/>
          </w:tcPr>
          <w:p>
            <w:pPr>
              <w:pStyle w:val="Normal"/>
              <w:bidi w:val="0"/>
              <w:jc w:val="left"/>
              <w:rPr/>
            </w:pPr>
            <w:r>
              <w:rPr/>
            </w:r>
          </w:p>
        </w:tc>
        <w:tc>
          <w:tcPr>
            <w:tcW w:w="1000" w:type="dxa"/>
            <w:vMerge w:val="continue"/>
            <w:tcBorders>
              <w:bottom w:val="single" w:sz="8" w:space="0" w:color="000000"/>
            </w:tcBorders>
            <w:shd w:fill="D9D9D9" w:val="clear"/>
            <w:tcMar>
              <w:bottom w:w="58"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D9D9D9" w:val="clear"/>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shd w:fill="D9D9D9" w:val="clear"/>
            <w:tcMar>
              <w:bottom w:w="28" w:type="dxa"/>
            </w:tcMar>
            <w:vAlign w:val="center"/>
          </w:tcPr>
          <w:p>
            <w:pPr>
              <w:pStyle w:val="Normal"/>
              <w:bidi w:val="0"/>
              <w:jc w:val="left"/>
              <w:rPr/>
            </w:pPr>
            <w:r>
              <w:rPr/>
            </w:r>
          </w:p>
        </w:tc>
        <w:tc>
          <w:tcPr>
            <w:tcW w:w="597" w:type="dxa"/>
            <w:vMerge w:val="continue"/>
            <w:tcBorders>
              <w:bottom w:val="single" w:sz="8" w:space="0" w:color="000000"/>
            </w:tcBorders>
            <w:shd w:fill="D9D9D9" w:val="clear"/>
            <w:tcMar>
              <w:bottom w:w="58"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D9D9D9" w:val="clear"/>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shd w:fill="D9D9D9" w:val="clear"/>
            <w:tcMar>
              <w:bottom w:w="28" w:type="dxa"/>
            </w:tcMar>
            <w:vAlign w:val="center"/>
          </w:tcPr>
          <w:p>
            <w:pPr>
              <w:pStyle w:val="Normal"/>
              <w:bidi w:val="0"/>
              <w:jc w:val="left"/>
              <w:rPr/>
            </w:pPr>
            <w:r>
              <w:rPr/>
            </w:r>
          </w:p>
        </w:tc>
        <w:tc>
          <w:tcPr>
            <w:tcW w:w="477" w:type="dxa"/>
            <w:vMerge w:val="continue"/>
            <w:tcBorders>
              <w:bottom w:val="single" w:sz="8" w:space="0" w:color="000000"/>
            </w:tcBorders>
            <w:shd w:fill="D9D9D9" w:val="clear"/>
            <w:tcMar>
              <w:bottom w:w="58"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D9D9D9" w:val="clear"/>
            <w:tcMar>
              <w:bottom w:w="28" w:type="dxa"/>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21"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Thresh.</w:t>
            </w:r>
          </w:p>
        </w:tc>
        <w:tc>
          <w:tcPr>
            <w:tcW w:w="179"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9" w:type="dxa"/>
            <w:tcBorders>
              <w:bottom w:val="single" w:sz="8" w:space="0" w:color="000000"/>
            </w:tcBorders>
            <w:tcMar>
              <w:bottom w:w="28" w:type="dxa"/>
            </w:tcMar>
            <w:vAlign w:val="center"/>
          </w:tcPr>
          <w:p>
            <w:pPr>
              <w:pStyle w:val="TableContents"/>
              <w:bidi w:val="0"/>
              <w:spacing w:before="0" w:after="0"/>
              <w:jc w:val="left"/>
              <w:rPr/>
            </w:pPr>
            <w:r>
              <w:rPr/>
              <w:t> </w:t>
            </w:r>
          </w:p>
        </w:tc>
        <w:tc>
          <w:tcPr>
            <w:tcW w:w="574"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Target</w:t>
            </w:r>
          </w:p>
        </w:tc>
        <w:tc>
          <w:tcPr>
            <w:tcW w:w="179"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9" w:type="dxa"/>
            <w:tcBorders>
              <w:bottom w:val="single" w:sz="8" w:space="0" w:color="000000"/>
            </w:tcBorders>
            <w:tcMar>
              <w:bottom w:w="28" w:type="dxa"/>
            </w:tcMar>
            <w:vAlign w:val="center"/>
          </w:tcPr>
          <w:p>
            <w:pPr>
              <w:pStyle w:val="TableContents"/>
              <w:bidi w:val="0"/>
              <w:spacing w:before="0" w:after="0"/>
              <w:jc w:val="left"/>
              <w:rPr/>
            </w:pPr>
            <w:r>
              <w:rPr/>
              <w:t> </w:t>
            </w:r>
          </w:p>
        </w:tc>
        <w:tc>
          <w:tcPr>
            <w:tcW w:w="429"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Max</w:t>
            </w:r>
          </w:p>
        </w:tc>
        <w:tc>
          <w:tcPr>
            <w:tcW w:w="179"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9" w:type="dxa"/>
            <w:tcBorders>
              <w:bottom w:val="single" w:sz="8" w:space="0" w:color="000000"/>
            </w:tcBorders>
            <w:tcMar>
              <w:bottom w:w="28" w:type="dxa"/>
            </w:tcMar>
            <w:vAlign w:val="center"/>
          </w:tcPr>
          <w:p>
            <w:pPr>
              <w:pStyle w:val="TableContents"/>
              <w:bidi w:val="0"/>
              <w:spacing w:before="0" w:after="0"/>
              <w:jc w:val="left"/>
              <w:rPr/>
            </w:pPr>
            <w:r>
              <w:rPr/>
              <w:t> </w:t>
            </w:r>
          </w:p>
        </w:tc>
        <w:tc>
          <w:tcPr>
            <w:tcW w:w="794"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TSR Modifier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continue"/>
            <w:tcBorders>
              <w:bottom w:val="single" w:sz="8" w:space="0" w:color="000000"/>
            </w:tcBorders>
            <w:shd w:fill="D9D9D9" w:val="clear"/>
            <w:tcMar>
              <w:bottom w:w="28" w:type="dxa"/>
            </w:tcMar>
            <w:vAlign w:val="center"/>
          </w:tcPr>
          <w:p>
            <w:pPr>
              <w:pStyle w:val="Normal"/>
              <w:bidi w:val="0"/>
              <w:jc w:val="left"/>
              <w:rPr/>
            </w:pPr>
            <w:r>
              <w:rPr/>
            </w:r>
          </w:p>
        </w:tc>
        <w:tc>
          <w:tcPr>
            <w:tcW w:w="2875" w:type="dxa"/>
            <w:vMerge w:val="continue"/>
            <w:tcBorders>
              <w:bottom w:val="single" w:sz="8" w:space="0" w:color="000000"/>
            </w:tcBorders>
            <w:shd w:fill="D9D9D9" w:val="clear"/>
            <w:tcMar>
              <w:bottom w:w="58" w:type="dxa"/>
            </w:tcMar>
            <w:vAlign w:val="center"/>
          </w:tcPr>
          <w:p>
            <w:pPr>
              <w:pStyle w:val="Normal"/>
              <w:bidi w:val="0"/>
              <w:jc w:val="left"/>
              <w:rPr/>
            </w:pPr>
            <w:r>
              <w:rPr/>
            </w:r>
          </w:p>
        </w:tc>
        <w:tc>
          <w:tcPr>
            <w:tcW w:w="219" w:type="dxa"/>
            <w:vMerge w:val="continue"/>
            <w:tcBorders>
              <w:bottom w:val="single" w:sz="8" w:space="0" w:color="000000"/>
            </w:tcBorders>
            <w:shd w:fill="D9D9D9" w:val="clear"/>
            <w:tcMar>
              <w:bottom w:w="28" w:type="dxa"/>
            </w:tcMar>
            <w:vAlign w:val="center"/>
          </w:tcPr>
          <w:p>
            <w:pPr>
              <w:pStyle w:val="Normal"/>
              <w:bidi w:val="0"/>
              <w:jc w:val="left"/>
              <w:rPr/>
            </w:pPr>
            <w:r>
              <w:rPr/>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00" w:type="dxa"/>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EBITDA</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7" w:type="dxa"/>
            <w:tcBorders>
              <w:bottom w:val="single" w:sz="8" w:space="0" w:color="000000"/>
            </w:tcBorders>
            <w:tcMar>
              <w:bottom w:w="55" w:type="dxa"/>
            </w:tcMar>
            <w:vAlign w:val="center"/>
          </w:tcPr>
          <w:p>
            <w:pPr>
              <w:pStyle w:val="TableContents"/>
              <w:bidi w:val="0"/>
              <w:spacing w:before="0" w:after="283"/>
              <w:ind w:left="92" w:right="0" w:hanging="0"/>
              <w:jc w:val="left"/>
              <w:rPr>
                <w:rFonts w:ascii="Times New Roman;Times;serif" w:hAnsi="Times New Roman;Times;serif"/>
                <w:color w:val="000000"/>
                <w:sz w:val="18"/>
              </w:rPr>
            </w:pPr>
            <w:r>
              <w:rPr>
                <w:rFonts w:ascii="Times New Roman;Times;serif" w:hAnsi="Times New Roman;Times;serif"/>
                <w:color w:val="000000"/>
                <w:sz w:val="18"/>
              </w:rPr>
              <w:t>PSUs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77" w:type="dxa"/>
            <w:tcBorders>
              <w:bottom w:val="single" w:sz="8" w:space="0" w:color="000000"/>
            </w:tcBorders>
            <w:tcMar>
              <w:bottom w:w="55" w:type="dxa"/>
            </w:tcMar>
            <w:vAlign w:val="center"/>
          </w:tcPr>
          <w:p>
            <w:pPr>
              <w:pStyle w:val="TableContents"/>
              <w:bidi w:val="0"/>
              <w:spacing w:before="0" w:after="283"/>
              <w:ind w:left="144" w:right="0" w:hanging="0"/>
              <w:jc w:val="left"/>
              <w:rPr>
                <w:rFonts w:ascii="Times New Roman;Times;serif" w:hAnsi="Times New Roman;Times;serif"/>
                <w:color w:val="000000"/>
                <w:sz w:val="18"/>
              </w:rPr>
            </w:pPr>
            <w:r>
              <w:rPr>
                <w:rFonts w:ascii="Times New Roman;Times;serif" w:hAnsi="Times New Roman;Times;serif"/>
                <w:color w:val="000000"/>
                <w:sz w:val="18"/>
              </w:rPr>
              <w:t>37.5%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21" w:type="dxa"/>
            <w:tcBorders>
              <w:bottom w:val="single" w:sz="8" w:space="0" w:color="000000"/>
            </w:tcBorders>
            <w:tcMar>
              <w:bottom w:w="55" w:type="dxa"/>
            </w:tcMar>
            <w:vAlign w:val="center"/>
          </w:tcPr>
          <w:p>
            <w:pPr>
              <w:pStyle w:val="TableContents"/>
              <w:bidi w:val="0"/>
              <w:spacing w:before="0" w:after="283"/>
              <w:ind w:left="212" w:right="0" w:hanging="0"/>
              <w:jc w:val="left"/>
              <w:rPr>
                <w:rFonts w:ascii="Times New Roman;Times;serif" w:hAnsi="Times New Roman;Times;serif"/>
                <w:color w:val="000000"/>
                <w:sz w:val="18"/>
              </w:rPr>
            </w:pPr>
            <w:r>
              <w:rPr>
                <w:rFonts w:ascii="Times New Roman;Times;serif" w:hAnsi="Times New Roman;Times;serif"/>
                <w:color w:val="000000"/>
                <w:sz w:val="18"/>
              </w:rPr>
              <w:t>50%</w:t>
            </w:r>
          </w:p>
        </w:tc>
        <w:tc>
          <w:tcPr>
            <w:tcW w:w="179"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9" w:type="dxa"/>
            <w:tcBorders>
              <w:bottom w:val="single" w:sz="8" w:space="0" w:color="000000"/>
            </w:tcBorders>
            <w:tcMar>
              <w:bottom w:w="28" w:type="dxa"/>
            </w:tcMar>
            <w:vAlign w:val="center"/>
          </w:tcPr>
          <w:p>
            <w:pPr>
              <w:pStyle w:val="TableContents"/>
              <w:bidi w:val="0"/>
              <w:spacing w:before="0" w:after="0"/>
              <w:jc w:val="left"/>
              <w:rPr/>
            </w:pPr>
            <w:r>
              <w:rPr/>
              <w:t> </w:t>
            </w:r>
          </w:p>
        </w:tc>
        <w:tc>
          <w:tcPr>
            <w:tcW w:w="574" w:type="dxa"/>
            <w:tcBorders>
              <w:bottom w:val="single" w:sz="8" w:space="0" w:color="000000"/>
            </w:tcBorders>
            <w:tcMar>
              <w:bottom w:w="55" w:type="dxa"/>
            </w:tcMar>
            <w:vAlign w:val="center"/>
          </w:tcPr>
          <w:p>
            <w:pPr>
              <w:pStyle w:val="TableContents"/>
              <w:bidi w:val="0"/>
              <w:spacing w:before="0" w:after="283"/>
              <w:ind w:left="167" w:right="0" w:hanging="0"/>
              <w:jc w:val="left"/>
              <w:rPr>
                <w:rFonts w:ascii="Times New Roman;Times;serif" w:hAnsi="Times New Roman;Times;serif"/>
                <w:color w:val="000000"/>
                <w:sz w:val="18"/>
              </w:rPr>
            </w:pPr>
            <w:r>
              <w:rPr>
                <w:rFonts w:ascii="Times New Roman;Times;serif" w:hAnsi="Times New Roman;Times;serif"/>
                <w:color w:val="000000"/>
                <w:sz w:val="18"/>
              </w:rPr>
              <w:t>100%</w:t>
            </w:r>
          </w:p>
        </w:tc>
        <w:tc>
          <w:tcPr>
            <w:tcW w:w="179"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9" w:type="dxa"/>
            <w:tcBorders>
              <w:bottom w:val="single" w:sz="8" w:space="0" w:color="000000"/>
            </w:tcBorders>
            <w:tcMar>
              <w:bottom w:w="28" w:type="dxa"/>
            </w:tcMar>
            <w:vAlign w:val="center"/>
          </w:tcPr>
          <w:p>
            <w:pPr>
              <w:pStyle w:val="TableContents"/>
              <w:bidi w:val="0"/>
              <w:spacing w:before="0" w:after="0"/>
              <w:jc w:val="left"/>
              <w:rPr/>
            </w:pPr>
            <w:r>
              <w:rPr/>
              <w:t> </w:t>
            </w:r>
          </w:p>
        </w:tc>
        <w:tc>
          <w:tcPr>
            <w:tcW w:w="429" w:type="dxa"/>
            <w:tcBorders>
              <w:bottom w:val="single" w:sz="8" w:space="0" w:color="000000"/>
            </w:tcBorders>
            <w:tcMar>
              <w:bottom w:w="55" w:type="dxa"/>
            </w:tcMar>
            <w:vAlign w:val="center"/>
          </w:tcPr>
          <w:p>
            <w:pPr>
              <w:pStyle w:val="TableContents"/>
              <w:bidi w:val="0"/>
              <w:spacing w:before="0" w:after="283"/>
              <w:ind w:left="167" w:right="0" w:hanging="0"/>
              <w:jc w:val="left"/>
              <w:rPr>
                <w:rFonts w:ascii="Times New Roman;Times;serif" w:hAnsi="Times New Roman;Times;serif"/>
                <w:color w:val="000000"/>
                <w:sz w:val="18"/>
              </w:rPr>
            </w:pPr>
            <w:r>
              <w:rPr>
                <w:rFonts w:ascii="Times New Roman;Times;serif" w:hAnsi="Times New Roman;Times;serif"/>
                <w:color w:val="000000"/>
                <w:sz w:val="18"/>
              </w:rPr>
              <w:t>200%</w:t>
            </w:r>
          </w:p>
        </w:tc>
        <w:tc>
          <w:tcPr>
            <w:tcW w:w="179"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9"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794" w:type="dxa"/>
            <w:vMerge w:val="restart"/>
            <w:tcBorders>
              <w:bottom w:val="single" w:sz="8" w:space="0" w:color="000000"/>
            </w:tcBorders>
            <w:tcMar>
              <w:bottom w:w="55" w:type="dxa"/>
            </w:tcMar>
            <w:vAlign w:val="center"/>
          </w:tcPr>
          <w:p>
            <w:pPr>
              <w:pStyle w:val="TableContents"/>
              <w:bidi w:val="0"/>
              <w:spacing w:before="0" w:after="283"/>
              <w:ind w:left="106" w:right="0" w:hanging="0"/>
              <w:jc w:val="left"/>
              <w:rPr>
                <w:rFonts w:ascii="Times New Roman;Times;serif" w:hAnsi="Times New Roman;Times;serif"/>
                <w:color w:val="000000"/>
                <w:sz w:val="18"/>
              </w:rPr>
            </w:pPr>
            <w:r>
              <w:rPr>
                <w:rFonts w:ascii="Times New Roman;Times;serif" w:hAnsi="Times New Roman;Times;serif"/>
                <w:color w:val="000000"/>
                <w:sz w:val="18"/>
              </w:rPr>
              <w:t>+/- 25%</w:t>
            </w:r>
          </w:p>
        </w:tc>
        <w:tc>
          <w:tcPr>
            <w:tcW w:w="170" w:type="dxa"/>
            <w:vMerge w:val="restart"/>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2875" w:type="dxa"/>
            <w:vMerge w:val="restart"/>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Vests in full on June 15, 2028, generally subject to continued employment and the Company’s achievement of applicable performance goals over the three-year Performance Period </w:t>
            </w:r>
          </w:p>
        </w:tc>
        <w:tc>
          <w:tcPr>
            <w:tcW w:w="219" w:type="dxa"/>
            <w:vMerge w:val="restart"/>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00" w:type="dxa"/>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ROIC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7" w:type="dxa"/>
            <w:tcBorders>
              <w:bottom w:val="single" w:sz="8" w:space="0" w:color="000000"/>
            </w:tcBorders>
            <w:tcMar>
              <w:bottom w:w="55" w:type="dxa"/>
            </w:tcMar>
            <w:vAlign w:val="center"/>
          </w:tcPr>
          <w:p>
            <w:pPr>
              <w:pStyle w:val="TableContents"/>
              <w:bidi w:val="0"/>
              <w:spacing w:before="0" w:after="283"/>
              <w:ind w:left="92" w:right="0" w:hanging="0"/>
              <w:jc w:val="left"/>
              <w:rPr>
                <w:rFonts w:ascii="Times New Roman;Times;serif" w:hAnsi="Times New Roman;Times;serif"/>
                <w:color w:val="000000"/>
                <w:sz w:val="18"/>
              </w:rPr>
            </w:pPr>
            <w:r>
              <w:rPr>
                <w:rFonts w:ascii="Times New Roman;Times;serif" w:hAnsi="Times New Roman;Times;serif"/>
                <w:color w:val="000000"/>
                <w:sz w:val="18"/>
              </w:rPr>
              <w:t>PSUs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77" w:type="dxa"/>
            <w:tcBorders>
              <w:bottom w:val="single" w:sz="8" w:space="0" w:color="000000"/>
            </w:tcBorders>
            <w:tcMar>
              <w:bottom w:w="55" w:type="dxa"/>
            </w:tcMar>
            <w:vAlign w:val="center"/>
          </w:tcPr>
          <w:p>
            <w:pPr>
              <w:pStyle w:val="TableContents"/>
              <w:bidi w:val="0"/>
              <w:spacing w:before="0" w:after="283"/>
              <w:ind w:left="144" w:right="0" w:hanging="0"/>
              <w:jc w:val="left"/>
              <w:rPr>
                <w:rFonts w:ascii="Times New Roman;Times;serif" w:hAnsi="Times New Roman;Times;serif"/>
                <w:color w:val="000000"/>
                <w:sz w:val="18"/>
              </w:rPr>
            </w:pPr>
            <w:r>
              <w:rPr>
                <w:rFonts w:ascii="Times New Roman;Times;serif" w:hAnsi="Times New Roman;Times;serif"/>
                <w:color w:val="000000"/>
                <w:sz w:val="18"/>
              </w:rPr>
              <w:t>37.5%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21" w:type="dxa"/>
            <w:tcBorders>
              <w:bottom w:val="single" w:sz="8" w:space="0" w:color="000000"/>
            </w:tcBorders>
            <w:tcMar>
              <w:bottom w:w="55" w:type="dxa"/>
            </w:tcMar>
            <w:vAlign w:val="center"/>
          </w:tcPr>
          <w:p>
            <w:pPr>
              <w:pStyle w:val="TableContents"/>
              <w:bidi w:val="0"/>
              <w:spacing w:before="0" w:after="283"/>
              <w:ind w:left="212" w:right="0" w:hanging="0"/>
              <w:jc w:val="left"/>
              <w:rPr>
                <w:rFonts w:ascii="Times New Roman;Times;serif" w:hAnsi="Times New Roman;Times;serif"/>
                <w:color w:val="000000"/>
                <w:sz w:val="18"/>
              </w:rPr>
            </w:pPr>
            <w:r>
              <w:rPr>
                <w:rFonts w:ascii="Times New Roman;Times;serif" w:hAnsi="Times New Roman;Times;serif"/>
                <w:color w:val="000000"/>
                <w:sz w:val="18"/>
              </w:rPr>
              <w:t>50%</w:t>
            </w:r>
          </w:p>
        </w:tc>
        <w:tc>
          <w:tcPr>
            <w:tcW w:w="179"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9" w:type="dxa"/>
            <w:tcBorders>
              <w:bottom w:val="single" w:sz="8" w:space="0" w:color="000000"/>
            </w:tcBorders>
            <w:tcMar>
              <w:bottom w:w="28" w:type="dxa"/>
            </w:tcMar>
            <w:vAlign w:val="center"/>
          </w:tcPr>
          <w:p>
            <w:pPr>
              <w:pStyle w:val="TableContents"/>
              <w:bidi w:val="0"/>
              <w:spacing w:before="0" w:after="0"/>
              <w:jc w:val="left"/>
              <w:rPr/>
            </w:pPr>
            <w:r>
              <w:rPr/>
              <w:t> </w:t>
            </w:r>
          </w:p>
        </w:tc>
        <w:tc>
          <w:tcPr>
            <w:tcW w:w="574" w:type="dxa"/>
            <w:tcBorders>
              <w:bottom w:val="single" w:sz="8" w:space="0" w:color="000000"/>
            </w:tcBorders>
            <w:tcMar>
              <w:bottom w:w="55" w:type="dxa"/>
            </w:tcMar>
            <w:vAlign w:val="center"/>
          </w:tcPr>
          <w:p>
            <w:pPr>
              <w:pStyle w:val="TableContents"/>
              <w:bidi w:val="0"/>
              <w:spacing w:before="0" w:after="283"/>
              <w:ind w:left="167" w:right="0" w:hanging="0"/>
              <w:jc w:val="left"/>
              <w:rPr>
                <w:rFonts w:ascii="Times New Roman;Times;serif" w:hAnsi="Times New Roman;Times;serif"/>
                <w:color w:val="000000"/>
                <w:sz w:val="18"/>
              </w:rPr>
            </w:pPr>
            <w:r>
              <w:rPr>
                <w:rFonts w:ascii="Times New Roman;Times;serif" w:hAnsi="Times New Roman;Times;serif"/>
                <w:color w:val="000000"/>
                <w:sz w:val="18"/>
              </w:rPr>
              <w:t>100%</w:t>
            </w:r>
          </w:p>
        </w:tc>
        <w:tc>
          <w:tcPr>
            <w:tcW w:w="179"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9" w:type="dxa"/>
            <w:tcBorders>
              <w:bottom w:val="single" w:sz="8" w:space="0" w:color="000000"/>
            </w:tcBorders>
            <w:tcMar>
              <w:bottom w:w="28" w:type="dxa"/>
            </w:tcMar>
            <w:vAlign w:val="center"/>
          </w:tcPr>
          <w:p>
            <w:pPr>
              <w:pStyle w:val="TableContents"/>
              <w:bidi w:val="0"/>
              <w:spacing w:before="0" w:after="0"/>
              <w:jc w:val="left"/>
              <w:rPr/>
            </w:pPr>
            <w:r>
              <w:rPr/>
              <w:t> </w:t>
            </w:r>
          </w:p>
        </w:tc>
        <w:tc>
          <w:tcPr>
            <w:tcW w:w="429" w:type="dxa"/>
            <w:tcBorders>
              <w:bottom w:val="single" w:sz="8" w:space="0" w:color="000000"/>
            </w:tcBorders>
            <w:tcMar>
              <w:bottom w:w="55" w:type="dxa"/>
            </w:tcMar>
            <w:vAlign w:val="center"/>
          </w:tcPr>
          <w:p>
            <w:pPr>
              <w:pStyle w:val="TableContents"/>
              <w:bidi w:val="0"/>
              <w:spacing w:before="0" w:after="283"/>
              <w:ind w:left="167"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200% </w:t>
            </w:r>
          </w:p>
        </w:tc>
        <w:tc>
          <w:tcPr>
            <w:tcW w:w="179"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9" w:type="dxa"/>
            <w:vMerge w:val="continue"/>
            <w:tcBorders>
              <w:bottom w:val="single" w:sz="8" w:space="0" w:color="000000"/>
            </w:tcBorders>
            <w:tcMar>
              <w:bottom w:w="28" w:type="dxa"/>
            </w:tcMar>
            <w:vAlign w:val="center"/>
          </w:tcPr>
          <w:p>
            <w:pPr>
              <w:pStyle w:val="Normal"/>
              <w:bidi w:val="0"/>
              <w:jc w:val="left"/>
              <w:rPr/>
            </w:pPr>
            <w:r>
              <w:rPr/>
            </w:r>
          </w:p>
        </w:tc>
        <w:tc>
          <w:tcPr>
            <w:tcW w:w="794" w:type="dxa"/>
            <w:vMerge w:val="continue"/>
            <w:tcBorders>
              <w:bottom w:val="single" w:sz="8" w:space="0" w:color="000000"/>
            </w:tcBorders>
            <w:tcMar>
              <w:bottom w:w="55"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2875" w:type="dxa"/>
            <w:vMerge w:val="continue"/>
            <w:tcBorders>
              <w:bottom w:val="single" w:sz="8" w:space="0" w:color="000000"/>
            </w:tcBorders>
            <w:tcMar>
              <w:bottom w:w="55" w:type="dxa"/>
            </w:tcMar>
            <w:vAlign w:val="center"/>
          </w:tcPr>
          <w:p>
            <w:pPr>
              <w:pStyle w:val="Normal"/>
              <w:bidi w:val="0"/>
              <w:jc w:val="left"/>
              <w:rPr/>
            </w:pPr>
            <w:r>
              <w:rPr/>
            </w:r>
          </w:p>
        </w:tc>
        <w:tc>
          <w:tcPr>
            <w:tcW w:w="219" w:type="dxa"/>
            <w:vMerge w:val="continue"/>
            <w:tcBorders>
              <w:bottom w:val="single" w:sz="8" w:space="0" w:color="000000"/>
            </w:tcBorders>
            <w:tcMar>
              <w:bottom w:w="28" w:type="dxa"/>
            </w:tcMar>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Time-Based</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7" w:type="dxa"/>
            <w:tcBorders/>
            <w:vAlign w:val="center"/>
          </w:tcPr>
          <w:p>
            <w:pPr>
              <w:pStyle w:val="TableContents"/>
              <w:bidi w:val="0"/>
              <w:spacing w:before="0" w:after="283"/>
              <w:ind w:left="92" w:right="0" w:hanging="0"/>
              <w:jc w:val="left"/>
              <w:rPr>
                <w:rFonts w:ascii="Times New Roman;Times;serif" w:hAnsi="Times New Roman;Times;serif"/>
                <w:color w:val="000000"/>
                <w:sz w:val="18"/>
              </w:rPr>
            </w:pPr>
            <w:r>
              <w:rPr>
                <w:rFonts w:ascii="Times New Roman;Times;serif" w:hAnsi="Times New Roman;Times;serif"/>
                <w:color w:val="000000"/>
                <w:sz w:val="18"/>
              </w:rPr>
              <w:t>RSUs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7" w:type="dxa"/>
            <w:tcBorders/>
            <w:vAlign w:val="center"/>
          </w:tcPr>
          <w:p>
            <w:pPr>
              <w:pStyle w:val="TableContents"/>
              <w:bidi w:val="0"/>
              <w:spacing w:before="0" w:after="283"/>
              <w:ind w:left="144" w:right="0" w:hanging="0"/>
              <w:jc w:val="left"/>
              <w:rPr>
                <w:rFonts w:ascii="Times New Roman;Times;serif" w:hAnsi="Times New Roman;Times;serif"/>
                <w:color w:val="000000"/>
                <w:sz w:val="18"/>
              </w:rPr>
            </w:pPr>
            <w:r>
              <w:rPr>
                <w:rFonts w:ascii="Times New Roman;Times;serif" w:hAnsi="Times New Roman;Times;serif"/>
                <w:color w:val="000000"/>
                <w:sz w:val="18"/>
              </w:rPr>
              <w:t>25</w:t>
            </w:r>
            <w:r>
              <w:rPr>
                <w:rFonts w:ascii="Times New Roman;Times;serif" w:hAnsi="Times New Roman;Times;serif"/>
                <w:color w:val="000000"/>
                <w:sz w:val="18"/>
              </w:rPr>
              <w: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92" w:type="dxa"/>
            <w:gridSpan w:val="10"/>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Time-based only and not subject to adjustment based on performance</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Vests in three equal installments on June 15, 2026-2028, generally subject to continued employment</w:t>
            </w:r>
          </w:p>
        </w:tc>
        <w:tc>
          <w:tcPr>
            <w:tcW w:w="219"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0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7"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77"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492" w:type="dxa"/>
            <w:gridSpan w:val="10"/>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875" w:type="dxa"/>
            <w:tcBorders>
              <w:bottom w:val="single" w:sz="8" w:space="0" w:color="000000"/>
            </w:tcBorders>
            <w:tcMar>
              <w:bottom w:w="28" w:type="dxa"/>
            </w:tcMar>
            <w:vAlign w:val="center"/>
          </w:tcPr>
          <w:p>
            <w:pPr>
              <w:pStyle w:val="TableContents"/>
              <w:bidi w:val="0"/>
              <w:spacing w:before="0" w:after="0"/>
              <w:jc w:val="left"/>
              <w:rPr/>
            </w:pPr>
            <w:r>
              <w:rPr/>
              <w:t>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combination of PSUs and RSUs serves the Company’s long-term objectives because PSUs reward NEOs for meeting key financial goals that are important to the long-term performance of the Company, and RSUs support talent attraction and retention and balances the inherent challenges associated with PSUs, as non-controllable and highly variable external factors may affect the achievement of the Company’s performance metrics. The target, threshold and maximum performance levels are set to present our NEOs with reasonable upside and downside reward opportunities which align with typical market practices.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value of the LTIP awards at target for each NEO, which was based in-part on market and survey data reviewed by the Committee, is set forth in the table below: </w:t>
      </w:r>
    </w:p>
    <w:tbl>
      <w:tblPr>
        <w:tblW w:w="7575" w:type="dxa"/>
        <w:jc w:val="left"/>
        <w:tblInd w:w="0" w:type="dxa"/>
        <w:tblLayout w:type="fixed"/>
        <w:tblCellMar>
          <w:top w:w="0" w:type="dxa"/>
          <w:left w:w="0" w:type="dxa"/>
          <w:bottom w:w="0" w:type="dxa"/>
          <w:right w:w="0" w:type="dxa"/>
        </w:tblCellMar>
      </w:tblPr>
      <w:tblGrid>
        <w:gridCol w:w="185"/>
        <w:gridCol w:w="170"/>
        <w:gridCol w:w="170"/>
        <w:gridCol w:w="2255"/>
        <w:gridCol w:w="170"/>
        <w:gridCol w:w="170"/>
        <w:gridCol w:w="1835"/>
        <w:gridCol w:w="170"/>
        <w:gridCol w:w="170"/>
        <w:gridCol w:w="1805"/>
        <w:gridCol w:w="170"/>
        <w:gridCol w:w="170"/>
        <w:gridCol w:w="135"/>
      </w:tblGrid>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35" w:type="dxa"/>
            <w:tcBorders>
              <w:bottom w:val="single" w:sz="8" w:space="0" w:color="000000"/>
            </w:tcBorders>
            <w:tcMar>
              <w:bottom w:w="55"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05" w:type="dxa"/>
            <w:tcBorders>
              <w:bottom w:val="single" w:sz="8" w:space="0" w:color="000000"/>
            </w:tcBorders>
            <w:tcMar>
              <w:bottom w:w="55"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55"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835"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Target LTIP as a % of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Base Salary</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805"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Target LTIP Value on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Award Date </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283"/>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Darren M. Rebelez, CEO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3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$9,275,000*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0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$9,275,000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Stephen P. Bramlage, Jr., CFO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3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325%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0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$2,632,500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Ena Williams, COO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3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350%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0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$2,835,000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Thomas P. Brennan, Jr., CMO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3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275%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0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$1,705,000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Chad M. Frazell, CHRO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3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275%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0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$1,595,000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4625" w:type="dxa"/>
            <w:gridSpan w:val="8"/>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25" w:type="dxa"/>
            <w:gridSpan w:val="8"/>
            <w:tcBorders/>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*Mr. Rebelez’s 2026 fiscal year LTIP target was set as a dollar amount, as opposed to a percentage of salary.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increase to the target LTIP award for Mr. Rebelez and the other NEOs from the 2025 fiscal year reflected the results of the Committee’s competitive compensation analysis, a desire to move the elements of their compensation to a higher mix of long-term, at-risk performance-based compensation, as well as reflecting their consistent delivery of company results and experience in role. As a result, the Committee approved increases to target LTIP opportunities from prior levels, including increases from $7,500,000 to 9,275,000 for Mr. Rebelez (through an amendment to his employment agreement during the fiscal year 2025, as discussed below), 275% to 350% for Ms. Williams, 250% to 325% for Mr. Bramlage, 200% to 275% for Mr. Brennan, and 175% to 275% for Ms. Frazell. In approving these adjustments, the Committee considered the positioning of each executive officer’s total target direct compensation relative to the market, as well as factors such as scope of responsibilities, individual performance and tenure in role. The Committee determined that the adjustments were appropriate to better align compensation with these factors, including reflecting increased experience and exceptional sustained performance over time.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9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0" descr=""/>
                          <pic:cNvPicPr>
                            <a:picLocks noChangeAspect="1" noChangeArrowheads="1"/>
                          </pic:cNvPicPr>
                        </pic:nvPicPr>
                        <pic:blipFill>
                          <a:blip r:embed="rId91"/>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9" w:name="ny20072699x1_def14a_109-cda_pg12"/>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u w:val="single"/>
        </w:rPr>
        <w:t>Long-Term Incentive Performance Metrics</w:t>
      </w:r>
      <w:r>
        <w:rPr>
          <w:rFonts w:ascii="Times New Roman;Times;serif" w:hAnsi="Times New Roman;Times;serif"/>
          <w:b/>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5"/>
        <w:gridCol w:w="755"/>
        <w:gridCol w:w="170"/>
        <w:gridCol w:w="170"/>
        <w:gridCol w:w="680"/>
        <w:gridCol w:w="170"/>
        <w:gridCol w:w="170"/>
        <w:gridCol w:w="7690"/>
        <w:gridCol w:w="215"/>
      </w:tblGrid>
      <w:tr>
        <w:trPr/>
        <w:tc>
          <w:tcPr>
            <w:tcW w:w="185" w:type="dxa"/>
            <w:tcBorders/>
            <w:shd w:fill="D9D9D9" w:val="clear"/>
            <w:vAlign w:val="center"/>
          </w:tcPr>
          <w:p>
            <w:pPr>
              <w:pStyle w:val="TableContents"/>
              <w:bidi w:val="0"/>
              <w:spacing w:before="0" w:after="0"/>
              <w:jc w:val="left"/>
              <w:rPr/>
            </w:pPr>
            <w:r>
              <w:rPr/>
              <w:t> </w:t>
            </w:r>
          </w:p>
        </w:tc>
        <w:tc>
          <w:tcPr>
            <w:tcW w:w="9805" w:type="dxa"/>
            <w:gridSpan w:val="7"/>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5" w:type="dxa"/>
            <w:gridSpan w:val="7"/>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2026 LTIP Performance Metrics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Metrics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Weight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69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Description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EBITDA</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37.5%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690"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EBITDA</w:t>
            </w:r>
            <w:r>
              <w:rPr>
                <w:rFonts w:ascii="Times New Roman;Times;serif" w:hAnsi="Times New Roman;Times;serif"/>
                <w:b w:val="false"/>
                <w:color w:val="000000"/>
                <w:sz w:val="18"/>
              </w:rPr>
              <w:t>: We define EBITDA as net income before net interest expense, income taxes, depreciation and amortization, which is a critical financial measure in our business because it:</w:t>
            </w:r>
          </w:p>
          <w:p>
            <w:pPr>
              <w:pStyle w:val="TableContents"/>
              <w:bidi w:val="0"/>
              <w:spacing w:before="120" w:after="283"/>
              <w:ind w:left="0" w:right="0" w:hanging="0"/>
              <w:jc w:val="left"/>
              <w:rPr>
                <w:color w:val="000000"/>
              </w:rPr>
            </w:pPr>
            <w:r>
              <w:rPr>
                <w:color w:val="000000"/>
              </w:rPr>
              <w:t>⯀ </w:t>
            </w:r>
          </w:p>
          <w:p>
            <w:pPr>
              <w:pStyle w:val="TableContents"/>
              <w:bidi w:val="0"/>
              <w:spacing w:before="120" w:after="283"/>
              <w:jc w:val="left"/>
              <w:rPr>
                <w:rFonts w:ascii="Times New Roman;Times;serif" w:hAnsi="Times New Roman;Times;serif"/>
                <w:b w:val="false"/>
                <w:color w:val="000000"/>
                <w:sz w:val="18"/>
              </w:rPr>
            </w:pPr>
            <w:r>
              <w:rPr>
                <w:rFonts w:ascii="Times New Roman;Times;serif" w:hAnsi="Times New Roman;Times;serif"/>
                <w:b w:val="false"/>
                <w:color w:val="000000"/>
                <w:sz w:val="18"/>
              </w:rPr>
              <w:t>Measures overall financial performance and value created by the Company</w:t>
            </w:r>
          </w:p>
          <w:p>
            <w:pPr>
              <w:pStyle w:val="TableContents"/>
              <w:bidi w:val="0"/>
              <w:spacing w:before="80" w:after="283"/>
              <w:ind w:left="0" w:right="0" w:hanging="0"/>
              <w:jc w:val="left"/>
              <w:rPr>
                <w:color w:val="000000"/>
              </w:rPr>
            </w:pPr>
            <w:r>
              <w:rPr>
                <w:color w:val="000000"/>
              </w:rPr>
              <w:t>⯀ </w:t>
            </w:r>
          </w:p>
          <w:p>
            <w:pPr>
              <w:pStyle w:val="TableContents"/>
              <w:bidi w:val="0"/>
              <w:spacing w:before="80" w:after="283"/>
              <w:jc w:val="left"/>
              <w:rPr>
                <w:rFonts w:ascii="Times New Roman;Times;serif" w:hAnsi="Times New Roman;Times;serif"/>
                <w:b w:val="false"/>
                <w:color w:val="000000"/>
                <w:sz w:val="18"/>
              </w:rPr>
            </w:pPr>
            <w:r>
              <w:rPr>
                <w:rFonts w:ascii="Times New Roman;Times;serif" w:hAnsi="Times New Roman;Times;serif"/>
                <w:b w:val="false"/>
                <w:color w:val="000000"/>
                <w:sz w:val="18"/>
              </w:rPr>
              <w:t>Provides a focus on core operating results and represents a key basis for stock valuation</w:t>
            </w:r>
          </w:p>
          <w:p>
            <w:pPr>
              <w:pStyle w:val="TableContents"/>
              <w:bidi w:val="0"/>
              <w:spacing w:before="80" w:after="283"/>
              <w:ind w:left="0" w:right="0" w:hanging="0"/>
              <w:jc w:val="left"/>
              <w:rPr>
                <w:color w:val="000000"/>
              </w:rPr>
            </w:pPr>
            <w:r>
              <w:rPr>
                <w:color w:val="000000"/>
              </w:rPr>
              <w:t>⯀ </w:t>
            </w:r>
          </w:p>
          <w:p>
            <w:pPr>
              <w:pStyle w:val="TableContents"/>
              <w:bidi w:val="0"/>
              <w:spacing w:before="80" w:after="283"/>
              <w:jc w:val="left"/>
              <w:rPr>
                <w:rFonts w:ascii="Times New Roman;Times;serif" w:hAnsi="Times New Roman;Times;serif"/>
                <w:b w:val="false"/>
                <w:color w:val="000000"/>
                <w:sz w:val="18"/>
              </w:rPr>
            </w:pPr>
            <w:r>
              <w:rPr>
                <w:rFonts w:ascii="Times New Roman;Times;serif" w:hAnsi="Times New Roman;Times;serif"/>
                <w:b w:val="false"/>
                <w:color w:val="000000"/>
                <w:sz w:val="18"/>
              </w:rPr>
              <w:t>Is useful to investors in evaluating our operating performance because securities analysts and other interested parties use such calculations as a measure of financial performance and debt service capabilities</w:t>
            </w:r>
          </w:p>
          <w:p>
            <w:pPr>
              <w:pStyle w:val="TableContents"/>
              <w:bidi w:val="0"/>
              <w:spacing w:before="80" w:after="283"/>
              <w:ind w:left="0" w:right="0" w:hanging="0"/>
              <w:jc w:val="left"/>
              <w:rPr>
                <w:color w:val="000000"/>
              </w:rPr>
            </w:pPr>
            <w:r>
              <w:rPr>
                <w:color w:val="000000"/>
              </w:rPr>
              <w:t>⯀ </w:t>
            </w:r>
          </w:p>
          <w:p>
            <w:pPr>
              <w:pStyle w:val="TableContents"/>
              <w:bidi w:val="0"/>
              <w:spacing w:before="80" w:after="283"/>
              <w:jc w:val="left"/>
              <w:rPr>
                <w:rFonts w:ascii="Times New Roman;Times;serif" w:hAnsi="Times New Roman;Times;serif"/>
                <w:b w:val="false"/>
                <w:color w:val="000000"/>
                <w:sz w:val="18"/>
              </w:rPr>
            </w:pPr>
            <w:r>
              <w:rPr>
                <w:rFonts w:ascii="Times New Roman;Times;serif" w:hAnsi="Times New Roman;Times;serif"/>
                <w:b w:val="false"/>
                <w:color w:val="000000"/>
                <w:sz w:val="18"/>
              </w:rPr>
              <w:t>Aligns with the Company’s strategic plan (i.e. its commitments to investors)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b w:val="false"/>
                <w:color w:val="000000"/>
                <w:sz w:val="18"/>
              </w:rPr>
            </w:pPr>
            <w:r>
              <w:rPr>
                <w:rFonts w:ascii="Times New Roman;Times;serif" w:hAnsi="Times New Roman;Times;serif"/>
                <w:b w:val="false"/>
                <w:color w:val="000000"/>
                <w:sz w:val="18"/>
              </w:rPr>
              <w:t>Is regularly used by management for internal purposes including our capital budgeting process, evaluating acquisition targets and assessing performance</w:t>
            </w:r>
          </w:p>
          <w:p>
            <w:pPr>
              <w:pStyle w:val="TableContents"/>
              <w:bidi w:val="0"/>
              <w:spacing w:before="80" w:after="283"/>
              <w:ind w:left="0" w:right="0" w:hanging="0"/>
              <w:jc w:val="left"/>
              <w:rPr>
                <w:color w:val="000000"/>
              </w:rPr>
            </w:pPr>
            <w:r>
              <w:rPr>
                <w:color w:val="000000"/>
              </w:rPr>
              <w:t>⯀ </w:t>
            </w:r>
          </w:p>
          <w:p>
            <w:pPr>
              <w:pStyle w:val="TableContents"/>
              <w:bidi w:val="0"/>
              <w:spacing w:before="80" w:after="283"/>
              <w:jc w:val="left"/>
              <w:rPr>
                <w:rFonts w:ascii="Times New Roman;Times;serif" w:hAnsi="Times New Roman;Times;serif"/>
                <w:b w:val="false"/>
                <w:color w:val="000000"/>
                <w:sz w:val="18"/>
              </w:rPr>
            </w:pPr>
            <w:r>
              <w:rPr>
                <w:rFonts w:ascii="Times New Roman;Times;serif" w:hAnsi="Times New Roman;Times;serif"/>
                <w:b w:val="false"/>
                <w:color w:val="000000"/>
                <w:sz w:val="18"/>
              </w:rPr>
              <w:t xml:space="preserve">Is a common incentive and performance metric used by our peers and others in the convenience store industry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ROIC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37.5%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690"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ROIC</w:t>
            </w:r>
            <w:r>
              <w:rPr>
                <w:rFonts w:ascii="Times New Roman;Times;serif" w:hAnsi="Times New Roman;Times;serif"/>
                <w:b w:val="false"/>
                <w:color w:val="000000"/>
                <w:sz w:val="18"/>
              </w:rPr>
              <w:t xml:space="preserve">: ROIC for each fiscal year is calculated as operating income after depreciation and tax, divided by average invested capital for that fiscal year. All of the following ROIC inputs come directly from the audited financial statements: “operating income” equals total revenue less cost of goods sold (exclusive of depreciation and amortization) less operating expenses; “depreciation” equals depreciation and amortization; “tax” equals operating income less depreciation multiplied by the effective tax rate where “effective tax rate” equals federal and state income taxes divided by income before income taxes; “average invested capital” equals the summation of notes, lines of credit, current maturities of long-term debt and finance lease obligations, long-term debt and finance lease obligations, net of current maturities, and total shareholders’ equity for the current fiscal year and the previous fiscal year divided by two. </w:t>
            </w:r>
          </w:p>
          <w:p>
            <w:pPr>
              <w:pStyle w:val="TableContents"/>
              <w:bidi w:val="0"/>
              <w:spacing w:before="12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 xml:space="preserve">In addition to being a common incentive metric among the Compensation Peer Group, because the Company seeks to enlarge its operating footprint, the Committee believes that ROIC is a particularly useful measure of management’s effectiveness in creating value for our shareholders by measuring the Company’s returns on capital expenditures.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TSR</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PSU</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Modifier</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90"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TSR</w:t>
            </w:r>
            <w:r>
              <w:rPr>
                <w:rFonts w:ascii="Times New Roman;Times;serif" w:hAnsi="Times New Roman;Times;serif"/>
                <w:b w:val="false"/>
                <w:color w:val="000000"/>
                <w:sz w:val="18"/>
              </w:rPr>
              <w:t xml:space="preserve">: TSR means the change in the value, expressed as a percentage of a given dollar amount invested in an applicable peer company’s most widely publicly traded stock over the three-year performance period, taking into account both stock price appreciation (or depreciation) and the reinvestment of dividends (including the cash value of non-cash dividends) in additional stock of the company. The Company’s TSR is then compared to the TSR of the TSR Peer Group. </w:t>
            </w:r>
          </w:p>
          <w:p>
            <w:pPr>
              <w:pStyle w:val="TableContents"/>
              <w:bidi w:val="0"/>
              <w:spacing w:before="12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The Committee believes that relative TSR is an effective measure of the long-term success of the Company while normalizing external, macroeconomic factors that fall outside of the Company’s control, and aligns performance with the shareholder experience, and as such, includes the metric in the role of a PSU modifier as opposed to a primary performance metric.</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69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40" w:after="283"/>
        <w:jc w:val="center"/>
        <w:rPr>
          <w:rFonts w:ascii="Times New Roman;Times;serif" w:hAnsi="Times New Roman;Times;serif"/>
          <w:b/>
          <w:color w:val="000000"/>
          <w:sz w:val="20"/>
        </w:rPr>
      </w:pPr>
      <w:bookmarkStart w:id="90" w:name="tCPR"/>
      <w:bookmarkEnd w:id="90"/>
      <w:r>
        <w:rPr>
          <w:rFonts w:ascii="Times New Roman;Times;serif" w:hAnsi="Times New Roman;Times;serif"/>
          <w:b/>
          <w:color w:val="000000"/>
          <w:sz w:val="20"/>
          <w:u w:val="single"/>
        </w:rPr>
        <w:t>Long-Term Incentive Goal Setting</w:t>
      </w:r>
      <w:r>
        <w:rPr>
          <w:rFonts w:ascii="Times New Roman;Times;serif" w:hAnsi="Times New Roman;Times;serif"/>
          <w:b/>
          <w:color w:val="000000"/>
          <w:sz w:val="20"/>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As with the AIP, the performance goals under the LTIP are generally derived from the Operating Plan (see above under the section entitled “Compensation Program Elements–Annual Incentive Goal Setting”), in combination with the objectives of the Company’s long-term strategic plan at that time and are approved by the Committee. As noted above, this review and approval occurred during June of the 2026 fiscal year.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9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1" descr=""/>
                          <pic:cNvPicPr>
                            <a:picLocks noChangeAspect="1" noChangeArrowheads="1"/>
                          </pic:cNvPicPr>
                        </pic:nvPicPr>
                        <pic:blipFill>
                          <a:blip r:embed="rId92"/>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1" w:name="ny20072699x1_def14a_109-cda_pg13"/>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u w:val="single"/>
        </w:rPr>
        <w:t>2026 Fiscal Year LTIP Awards</w:t>
      </w:r>
      <w:r>
        <w:rPr>
          <w:rFonts w:ascii="Times New Roman;Times;serif" w:hAnsi="Times New Roman;Times;serif"/>
          <w:b/>
          <w:color w:val="000000"/>
          <w:sz w:val="20"/>
        </w:rPr>
        <w:t xml:space="preserve"> </w:t>
      </w:r>
    </w:p>
    <w:p>
      <w:pPr>
        <w:pStyle w:val="TextBody"/>
        <w:bidi w:val="0"/>
        <w:spacing w:lineRule="atLeast" w:line="232" w:before="1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target value of the LTIP award for each NEO is represented as a percentage of base salary (or for Mr. Rebelez, a dollar amount), resulting in the following number of units awarded, at target: </w:t>
      </w:r>
    </w:p>
    <w:tbl>
      <w:tblPr>
        <w:tblW w:w="10205" w:type="dxa"/>
        <w:jc w:val="left"/>
        <w:tblInd w:w="0" w:type="dxa"/>
        <w:tblLayout w:type="fixed"/>
        <w:tblCellMar>
          <w:top w:w="0" w:type="dxa"/>
          <w:left w:w="0" w:type="dxa"/>
          <w:bottom w:w="0" w:type="dxa"/>
          <w:right w:w="0" w:type="dxa"/>
        </w:tblCellMar>
      </w:tblPr>
      <w:tblGrid>
        <w:gridCol w:w="305"/>
        <w:gridCol w:w="170"/>
        <w:gridCol w:w="170"/>
        <w:gridCol w:w="1919"/>
        <w:gridCol w:w="248"/>
        <w:gridCol w:w="248"/>
        <w:gridCol w:w="1932"/>
        <w:gridCol w:w="248"/>
        <w:gridCol w:w="248"/>
        <w:gridCol w:w="1817"/>
        <w:gridCol w:w="248"/>
        <w:gridCol w:w="248"/>
        <w:gridCol w:w="1842"/>
        <w:gridCol w:w="170"/>
        <w:gridCol w:w="170"/>
        <w:gridCol w:w="222"/>
      </w:tblGrid>
      <w:tr>
        <w:trPr/>
        <w:tc>
          <w:tcPr>
            <w:tcW w:w="3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19"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1932"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1817"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18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 w:type="dxa"/>
            <w:tcBorders/>
            <w:vAlign w:val="center"/>
          </w:tcPr>
          <w:p>
            <w:pPr>
              <w:pStyle w:val="TableContents"/>
              <w:bidi w:val="0"/>
              <w:spacing w:before="0" w:after="0"/>
              <w:jc w:val="left"/>
              <w:rPr/>
            </w:pPr>
            <w:r>
              <w:rPr/>
              <w:t> </w:t>
            </w:r>
          </w:p>
        </w:tc>
      </w:tr>
      <w:tr>
        <w:trPr/>
        <w:tc>
          <w:tcPr>
            <w:tcW w:w="3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19" w:type="dxa"/>
            <w:tcBorders/>
            <w:vAlign w:val="center"/>
          </w:tcPr>
          <w:p>
            <w:pPr>
              <w:pStyle w:val="TableContents"/>
              <w:bidi w:val="0"/>
              <w:spacing w:before="0" w:after="0"/>
              <w:jc w:val="center"/>
              <w:rPr>
                <w:color w:val="000000"/>
              </w:rPr>
            </w:pPr>
            <w:r>
              <w:rPr>
                <w:color w:val="000000"/>
              </w:rPr>
              <w:t> </w:t>
            </w:r>
          </w:p>
        </w:tc>
        <w:tc>
          <w:tcPr>
            <w:tcW w:w="248" w:type="dxa"/>
            <w:tcBorders/>
            <w:vAlign w:val="center"/>
          </w:tcPr>
          <w:p>
            <w:pPr>
              <w:pStyle w:val="TableContents"/>
              <w:bidi w:val="0"/>
              <w:spacing w:before="0" w:after="0"/>
              <w:jc w:val="left"/>
              <w:rPr/>
            </w:pPr>
            <w:r>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1932" w:type="dxa"/>
            <w:tcBorders>
              <w:bottom w:val="single" w:sz="8" w:space="0" w:color="000000"/>
            </w:tcBorders>
            <w:tcMar>
              <w:bottom w:w="55" w:type="dxa"/>
            </w:tcMar>
            <w:vAlign w:val="center"/>
          </w:tcPr>
          <w:p>
            <w:pPr>
              <w:pStyle w:val="TableContents"/>
              <w:bidi w:val="0"/>
              <w:spacing w:before="0" w:after="0"/>
              <w:jc w:val="center"/>
              <w:rPr>
                <w:color w:val="000000"/>
              </w:rPr>
            </w:pPr>
            <w:r>
              <w:rPr>
                <w:color w:val="000000"/>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1817" w:type="dxa"/>
            <w:tcBorders>
              <w:bottom w:val="single" w:sz="8" w:space="0" w:color="000000"/>
            </w:tcBorders>
            <w:tcMar>
              <w:bottom w:w="55" w:type="dxa"/>
            </w:tcMar>
            <w:vAlign w:val="center"/>
          </w:tcPr>
          <w:p>
            <w:pPr>
              <w:pStyle w:val="TableContents"/>
              <w:bidi w:val="0"/>
              <w:spacing w:before="0" w:after="0"/>
              <w:jc w:val="center"/>
              <w:rPr>
                <w:color w:val="000000"/>
              </w:rPr>
            </w:pPr>
            <w:r>
              <w:rPr>
                <w:color w:val="000000"/>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1842" w:type="dxa"/>
            <w:tcBorders>
              <w:bottom w:val="single" w:sz="8" w:space="0" w:color="000000"/>
            </w:tcBorders>
            <w:tcMar>
              <w:bottom w:w="55"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 w:type="dxa"/>
            <w:tcBorders/>
            <w:vAlign w:val="center"/>
          </w:tcPr>
          <w:p>
            <w:pPr>
              <w:pStyle w:val="TableContents"/>
              <w:bidi w:val="0"/>
              <w:spacing w:before="0" w:after="0"/>
              <w:jc w:val="center"/>
              <w:rPr>
                <w:color w:val="000000"/>
              </w:rPr>
            </w:pPr>
            <w:r>
              <w:rPr>
                <w:color w:val="000000"/>
              </w:rPr>
              <w:t> </w:t>
            </w:r>
          </w:p>
        </w:tc>
      </w:tr>
      <w:tr>
        <w:trPr/>
        <w:tc>
          <w:tcPr>
            <w:tcW w:w="3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19" w:type="dxa"/>
            <w:tcBorders>
              <w:bottom w:val="single" w:sz="8" w:space="0" w:color="000000"/>
            </w:tcBorders>
            <w:tcMar>
              <w:bottom w:w="55" w:type="dxa"/>
            </w:tcMar>
            <w:vAlign w:val="center"/>
          </w:tcPr>
          <w:p>
            <w:pPr>
              <w:pStyle w:val="TableContents"/>
              <w:bidi w:val="0"/>
              <w:spacing w:before="0" w:after="0"/>
              <w:jc w:val="center"/>
              <w:rPr>
                <w:color w:val="000000"/>
              </w:rPr>
            </w:pPr>
            <w:r>
              <w:rPr>
                <w:color w:val="000000"/>
              </w:rPr>
              <w:t> </w:t>
            </w:r>
          </w:p>
        </w:tc>
        <w:tc>
          <w:tcPr>
            <w:tcW w:w="24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8"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932"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RSUs Subject to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Time-Based Goals</w:t>
            </w:r>
            <w:r>
              <w:rPr>
                <w:rFonts w:ascii="Times New Roman;Times;serif" w:hAnsi="Times New Roman;Times;serif"/>
                <w:b/>
                <w:color w:val="000000"/>
                <w:position w:val="6"/>
                <w:sz w:val="14"/>
                <w:sz w:val="18"/>
              </w:rPr>
              <w:t>(1)(2)(6)</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of units)</w:t>
            </w:r>
          </w:p>
        </w:tc>
        <w:tc>
          <w:tcPr>
            <w:tcW w:w="248"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248"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817"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PSUs Subject to EBITDA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Goals (at target)</w:t>
            </w:r>
            <w:r>
              <w:rPr>
                <w:rFonts w:ascii="Times New Roman;Times;serif" w:hAnsi="Times New Roman;Times;serif"/>
                <w:b/>
                <w:color w:val="000000"/>
                <w:position w:val="6"/>
                <w:sz w:val="14"/>
                <w:sz w:val="18"/>
              </w:rPr>
              <w:t>(1)(3)(5)(6)</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of units)</w:t>
            </w:r>
          </w:p>
        </w:tc>
        <w:tc>
          <w:tcPr>
            <w:tcW w:w="248"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248"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842"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PSUs Subject to ROIC Goals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(at target)</w:t>
            </w:r>
            <w:r>
              <w:rPr>
                <w:rFonts w:ascii="Times New Roman;Times;serif" w:hAnsi="Times New Roman;Times;serif"/>
                <w:b/>
                <w:color w:val="000000"/>
                <w:position w:val="6"/>
                <w:sz w:val="14"/>
                <w:sz w:val="18"/>
              </w:rPr>
              <w:t>(1)(4)(5)(6)</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of units)</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 w:type="dxa"/>
            <w:tcBorders/>
            <w:vAlign w:val="center"/>
          </w:tcPr>
          <w:p>
            <w:pPr>
              <w:pStyle w:val="TableContents"/>
              <w:bidi w:val="0"/>
              <w:spacing w:before="0" w:after="283"/>
              <w:jc w:val="center"/>
              <w:rPr>
                <w:color w:val="000000"/>
              </w:rPr>
            </w:pPr>
            <w:r>
              <w:rPr>
                <w:color w:val="000000"/>
              </w:rPr>
              <w:t> </w:t>
            </w:r>
          </w:p>
        </w:tc>
      </w:tr>
      <w:tr>
        <w:trPr/>
        <w:tc>
          <w:tcPr>
            <w:tcW w:w="30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19"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Darren M. Rebelez, CEO</w:t>
            </w:r>
          </w:p>
        </w:tc>
        <w:tc>
          <w:tcPr>
            <w:tcW w:w="24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1932"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5,211</w:t>
            </w:r>
          </w:p>
        </w:tc>
        <w:tc>
          <w:tcPr>
            <w:tcW w:w="24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1817"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7,816</w:t>
            </w:r>
          </w:p>
        </w:tc>
        <w:tc>
          <w:tcPr>
            <w:tcW w:w="24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1842"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7,816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 w:type="dxa"/>
            <w:tcBorders/>
            <w:vAlign w:val="center"/>
          </w:tcPr>
          <w:p>
            <w:pPr>
              <w:pStyle w:val="TableContents"/>
              <w:bidi w:val="0"/>
              <w:spacing w:before="0" w:after="0"/>
              <w:jc w:val="center"/>
              <w:rPr>
                <w:color w:val="000000"/>
              </w:rPr>
            </w:pPr>
            <w:r>
              <w:rPr>
                <w:color w:val="000000"/>
              </w:rPr>
              <w:t> </w:t>
            </w:r>
          </w:p>
        </w:tc>
      </w:tr>
      <w:tr>
        <w:trPr/>
        <w:tc>
          <w:tcPr>
            <w:tcW w:w="30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19"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Stephen P. Bramlage, Jr., CFO</w:t>
            </w:r>
          </w:p>
        </w:tc>
        <w:tc>
          <w:tcPr>
            <w:tcW w:w="24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1932"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1,476</w:t>
            </w:r>
          </w:p>
        </w:tc>
        <w:tc>
          <w:tcPr>
            <w:tcW w:w="24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1817"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2,214</w:t>
            </w:r>
          </w:p>
        </w:tc>
        <w:tc>
          <w:tcPr>
            <w:tcW w:w="24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1842"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2,214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 w:type="dxa"/>
            <w:tcBorders/>
            <w:vAlign w:val="center"/>
          </w:tcPr>
          <w:p>
            <w:pPr>
              <w:pStyle w:val="TableContents"/>
              <w:bidi w:val="0"/>
              <w:spacing w:before="0" w:after="0"/>
              <w:jc w:val="center"/>
              <w:rPr>
                <w:color w:val="000000"/>
              </w:rPr>
            </w:pPr>
            <w:r>
              <w:rPr>
                <w:color w:val="000000"/>
              </w:rPr>
              <w:t> </w:t>
            </w:r>
          </w:p>
        </w:tc>
      </w:tr>
      <w:tr>
        <w:trPr/>
        <w:tc>
          <w:tcPr>
            <w:tcW w:w="30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19"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Ena Williams, COO</w:t>
            </w:r>
          </w:p>
        </w:tc>
        <w:tc>
          <w:tcPr>
            <w:tcW w:w="24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1932"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1,589</w:t>
            </w:r>
          </w:p>
        </w:tc>
        <w:tc>
          <w:tcPr>
            <w:tcW w:w="24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1817"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2,384</w:t>
            </w:r>
          </w:p>
        </w:tc>
        <w:tc>
          <w:tcPr>
            <w:tcW w:w="24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1842"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2,384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 w:type="dxa"/>
            <w:tcBorders/>
            <w:vAlign w:val="center"/>
          </w:tcPr>
          <w:p>
            <w:pPr>
              <w:pStyle w:val="TableContents"/>
              <w:bidi w:val="0"/>
              <w:spacing w:before="0" w:after="0"/>
              <w:jc w:val="center"/>
              <w:rPr>
                <w:color w:val="000000"/>
              </w:rPr>
            </w:pPr>
            <w:r>
              <w:rPr>
                <w:color w:val="000000"/>
              </w:rPr>
              <w:t> </w:t>
            </w:r>
          </w:p>
        </w:tc>
      </w:tr>
      <w:tr>
        <w:trPr/>
        <w:tc>
          <w:tcPr>
            <w:tcW w:w="30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19"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Thomas P. Brennan, Jr., CMO</w:t>
            </w:r>
          </w:p>
        </w:tc>
        <w:tc>
          <w:tcPr>
            <w:tcW w:w="24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1932"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956</w:t>
            </w:r>
          </w:p>
        </w:tc>
        <w:tc>
          <w:tcPr>
            <w:tcW w:w="24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1817"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1,434</w:t>
            </w:r>
          </w:p>
        </w:tc>
        <w:tc>
          <w:tcPr>
            <w:tcW w:w="24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1842"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1,434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 w:type="dxa"/>
            <w:tcBorders/>
            <w:vAlign w:val="center"/>
          </w:tcPr>
          <w:p>
            <w:pPr>
              <w:pStyle w:val="TableContents"/>
              <w:bidi w:val="0"/>
              <w:spacing w:before="0" w:after="0"/>
              <w:jc w:val="center"/>
              <w:rPr>
                <w:color w:val="000000"/>
              </w:rPr>
            </w:pPr>
            <w:r>
              <w:rPr>
                <w:color w:val="000000"/>
              </w:rPr>
              <w:t> </w:t>
            </w:r>
          </w:p>
        </w:tc>
      </w:tr>
      <w:tr>
        <w:trPr/>
        <w:tc>
          <w:tcPr>
            <w:tcW w:w="30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19"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Chad M. Frazell, CHRO</w:t>
            </w:r>
          </w:p>
        </w:tc>
        <w:tc>
          <w:tcPr>
            <w:tcW w:w="24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1932"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894</w:t>
            </w:r>
          </w:p>
        </w:tc>
        <w:tc>
          <w:tcPr>
            <w:tcW w:w="24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1817"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1,341</w:t>
            </w:r>
          </w:p>
        </w:tc>
        <w:tc>
          <w:tcPr>
            <w:tcW w:w="24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48" w:type="dxa"/>
            <w:tcBorders>
              <w:bottom w:val="single" w:sz="8" w:space="0" w:color="000000"/>
            </w:tcBorders>
            <w:tcMar>
              <w:bottom w:w="28" w:type="dxa"/>
            </w:tcMar>
            <w:vAlign w:val="center"/>
          </w:tcPr>
          <w:p>
            <w:pPr>
              <w:pStyle w:val="TableContents"/>
              <w:bidi w:val="0"/>
              <w:spacing w:before="0" w:after="0"/>
              <w:jc w:val="left"/>
              <w:rPr/>
            </w:pPr>
            <w:r>
              <w:rPr/>
              <w:t> </w:t>
            </w:r>
          </w:p>
        </w:tc>
        <w:tc>
          <w:tcPr>
            <w:tcW w:w="1842" w:type="dxa"/>
            <w:tcBorders>
              <w:bottom w:val="single" w:sz="8" w:space="0" w:color="000000"/>
            </w:tcBorders>
            <w:tcMar>
              <w:bottom w:w="55"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1,341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392" w:type="dxa"/>
            <w:gridSpan w:val="2"/>
            <w:tcBorders/>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8998" w:type="dxa"/>
            <w:gridSpan w:val="10"/>
            <w:tcBorders>
              <w:bottom w:val="single" w:sz="8" w:space="0" w:color="000000"/>
            </w:tcBorders>
            <w:shd w:fill="F2F2F2"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Additional Information </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 w:type="dxa"/>
            <w:tcBorders/>
            <w:vAlign w:val="center"/>
          </w:tcPr>
          <w:p>
            <w:pPr>
              <w:pStyle w:val="TableContents"/>
              <w:bidi w:val="0"/>
              <w:spacing w:before="0" w:after="283"/>
              <w:jc w:val="center"/>
              <w:rPr>
                <w:color w:val="000000"/>
              </w:rPr>
            </w:pPr>
            <w:r>
              <w:rPr>
                <w:color w:val="000000"/>
              </w:rPr>
              <w:t> </w:t>
            </w:r>
          </w:p>
        </w:tc>
      </w:tr>
      <w:tr>
        <w:trPr/>
        <w:tc>
          <w:tcPr>
            <w:tcW w:w="30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98" w:type="dxa"/>
            <w:gridSpan w:val="10"/>
            <w:tcBorders>
              <w:bottom w:val="single" w:sz="8" w:space="0" w:color="000000"/>
            </w:tcBorders>
            <w:tcMar>
              <w:bottom w:w="58" w:type="dxa"/>
            </w:tcMar>
            <w:vAlign w:val="center"/>
          </w:tcPr>
          <w:p>
            <w:pPr>
              <w:pStyle w:val="TableContents"/>
              <w:bidi w:val="0"/>
              <w:spacing w:lineRule="atLeast" w:line="190"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(1) </w:t>
            </w:r>
          </w:p>
          <w:p>
            <w:pPr>
              <w:pStyle w:val="TableContents"/>
              <w:bidi w:val="0"/>
              <w:spacing w:lineRule="atLeast" w:line="190" w:before="0" w:after="283"/>
              <w:jc w:val="left"/>
              <w:rPr>
                <w:rFonts w:ascii="Times New Roman;Times;serif" w:hAnsi="Times New Roman;Times;serif"/>
                <w:color w:val="000000"/>
                <w:sz w:val="17"/>
              </w:rPr>
            </w:pPr>
            <w:r>
              <w:rPr>
                <w:rFonts w:ascii="Times New Roman;Times;serif" w:hAnsi="Times New Roman;Times;serif"/>
                <w:color w:val="000000"/>
                <w:sz w:val="17"/>
              </w:rPr>
              <w:t>The number of RSUs and the target number of PSUs were determined by dividing the value of the award approved by the Committee by the 20-day average closing price of a share of Common Stock on the applicable award date (i.e., $445.05 on June 5, 2025 for Mr. Rebelez, $446.07 on June 4,2025 for the other NEOs).</w:t>
            </w:r>
          </w:p>
          <w:p>
            <w:pPr>
              <w:pStyle w:val="TableContents"/>
              <w:bidi w:val="0"/>
              <w:spacing w:lineRule="atLeast" w:line="190" w:before="10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(2) </w:t>
            </w:r>
          </w:p>
          <w:p>
            <w:pPr>
              <w:pStyle w:val="TableContents"/>
              <w:bidi w:val="0"/>
              <w:spacing w:lineRule="atLeast" w:line="190" w:before="100" w:after="283"/>
              <w:jc w:val="left"/>
              <w:rPr>
                <w:rFonts w:ascii="Times New Roman;Times;serif" w:hAnsi="Times New Roman;Times;serif"/>
                <w:color w:val="000000"/>
                <w:sz w:val="17"/>
              </w:rPr>
            </w:pPr>
            <w:r>
              <w:rPr>
                <w:rFonts w:ascii="Times New Roman;Times;serif" w:hAnsi="Times New Roman;Times;serif"/>
                <w:b/>
                <w:color w:val="000000"/>
                <w:sz w:val="17"/>
                <w:u w:val="single"/>
              </w:rPr>
              <w:t>RSUs Subject to Time-Based Goals</w:t>
            </w:r>
            <w:r>
              <w:rPr>
                <w:rFonts w:ascii="Times New Roman;Times;serif" w:hAnsi="Times New Roman;Times;serif"/>
                <w:color w:val="000000"/>
                <w:sz w:val="17"/>
              </w:rPr>
              <w:t>: These units represent 25% of the overall value of each NEO’s target LTIP award. The units vest in three equal installments on June 15, 2026-2028, subject to continued employment through the vesting date, except as otherwise set forth in the applicable award agreement, and are not subject to the achievement of performance goals.</w:t>
            </w:r>
          </w:p>
          <w:p>
            <w:pPr>
              <w:pStyle w:val="TableContents"/>
              <w:bidi w:val="0"/>
              <w:spacing w:lineRule="atLeast" w:line="190" w:before="10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(3) </w:t>
            </w:r>
          </w:p>
          <w:p>
            <w:pPr>
              <w:pStyle w:val="TableContents"/>
              <w:bidi w:val="0"/>
              <w:spacing w:lineRule="atLeast" w:line="190" w:before="100" w:after="283"/>
              <w:jc w:val="left"/>
              <w:rPr>
                <w:rFonts w:ascii="Times New Roman;Times;serif" w:hAnsi="Times New Roman;Times;serif"/>
                <w:color w:val="000000"/>
                <w:sz w:val="17"/>
              </w:rPr>
            </w:pPr>
            <w:r>
              <w:rPr>
                <w:rFonts w:ascii="Times New Roman;Times;serif" w:hAnsi="Times New Roman;Times;serif"/>
                <w:b/>
                <w:color w:val="000000"/>
                <w:sz w:val="17"/>
                <w:u w:val="single"/>
              </w:rPr>
              <w:t>PSUs Subject to EBITDA Goals</w:t>
            </w:r>
            <w:r>
              <w:rPr>
                <w:rFonts w:ascii="Times New Roman;Times;serif" w:hAnsi="Times New Roman;Times;serif"/>
                <w:color w:val="000000"/>
                <w:sz w:val="17"/>
              </w:rPr>
              <w:t>: These units represent 37.5% of the overall value of each NEO’s target LTIP award, vest in full on June 15, 2028,subject to continued employment through the vesting date, except as otherwise set forth in the applicable award agreement, and are subject to adjustment based on the Company’s performance. The final number of units earned will be based on the Company’s cumulative EBITDA achievement over the Performance Period. The number of units awarded to each NEO is based on the Company’s achievement of threshold (50% awarded),target (100% awarded) and maximum (200% awarded) EBITDA goals over the Performance Period.</w:t>
            </w:r>
          </w:p>
          <w:p>
            <w:pPr>
              <w:pStyle w:val="TableContents"/>
              <w:bidi w:val="0"/>
              <w:spacing w:lineRule="atLeast" w:line="190" w:before="10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(4) </w:t>
            </w:r>
          </w:p>
          <w:p>
            <w:pPr>
              <w:pStyle w:val="TableContents"/>
              <w:bidi w:val="0"/>
              <w:spacing w:lineRule="atLeast" w:line="190" w:before="100" w:after="283"/>
              <w:jc w:val="left"/>
              <w:rPr>
                <w:rFonts w:ascii="Times New Roman;Times;serif" w:hAnsi="Times New Roman;Times;serif"/>
                <w:color w:val="000000"/>
                <w:sz w:val="17"/>
              </w:rPr>
            </w:pPr>
            <w:r>
              <w:rPr>
                <w:rFonts w:ascii="Times New Roman;Times;serif" w:hAnsi="Times New Roman;Times;serif"/>
                <w:b/>
                <w:color w:val="000000"/>
                <w:sz w:val="17"/>
                <w:u w:val="single"/>
              </w:rPr>
              <w:t>PSUs Subject to ROIC Goals</w:t>
            </w:r>
            <w:r>
              <w:rPr>
                <w:rFonts w:ascii="Times New Roman;Times;serif" w:hAnsi="Times New Roman;Times;serif"/>
                <w:color w:val="000000"/>
                <w:sz w:val="17"/>
              </w:rPr>
              <w:t>: These units represent 37.5% of the overall value of each NEO’s target LTIP award, vest in full on June 15, 2028, subject to continued employment through the vesting date, except as otherwise set forth in the applicable award agreement, and are subject to adjustment based on the Company’s performance. The final number of units earned will be based on the Company’s three-year average ROIC achievement over the Performance Period. The number of units awarded to each NEO is based on the Company’s achievement of threshold (50%awarded), target (100% awarded) and maximum (200% awarded) ROIC goals over the Performance Period.</w:t>
            </w:r>
          </w:p>
          <w:p>
            <w:pPr>
              <w:pStyle w:val="TableContents"/>
              <w:bidi w:val="0"/>
              <w:spacing w:lineRule="atLeast" w:line="190" w:before="10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(5) </w:t>
            </w:r>
          </w:p>
          <w:p>
            <w:pPr>
              <w:pStyle w:val="TableContents"/>
              <w:bidi w:val="0"/>
              <w:spacing w:lineRule="atLeast" w:line="190" w:before="100" w:after="283"/>
              <w:jc w:val="left"/>
              <w:rPr>
                <w:rFonts w:ascii="Times New Roman;Times;serif" w:hAnsi="Times New Roman;Times;serif"/>
                <w:color w:val="000000"/>
                <w:sz w:val="17"/>
              </w:rPr>
            </w:pPr>
            <w:r>
              <w:rPr>
                <w:rFonts w:ascii="Times New Roman;Times;serif" w:hAnsi="Times New Roman;Times;serif"/>
                <w:b/>
                <w:color w:val="000000"/>
                <w:sz w:val="17"/>
                <w:u w:val="single"/>
              </w:rPr>
              <w:t>TSR Modifier</w:t>
            </w:r>
            <w:r>
              <w:rPr>
                <w:rFonts w:ascii="Times New Roman;Times;serif" w:hAnsi="Times New Roman;Times;serif"/>
                <w:color w:val="000000"/>
                <w:sz w:val="17"/>
              </w:rPr>
              <w:t>: Following the determination of EBITDA and ROIC goals for the Performance Period, the PSUs actually awarded will be subject to a positive or negative adjustment based upon a comparison of the Company’s TSR relative to the TSR Peer Group (i.e., S&amp;P 500), where by the members of the TSR Peer Group at the end of the Performance Period (other than the Company) will be ranked highest to lowest according to each member’s TSR over the Performance Period, with the Company’s percentile rank to be determined based on linear interpolation by reference to the two members whose TSRs are immediately above and below the Company’s TSR. If the Company ranks in the bottom quartile of the group, the number of PSUs actually awarded will be reduced by 25%, and if the Company ranks in the top quartile of the group, the number of PSUs actually awarded will be increased by 25% (which, based on maximum performance goals achieved, could result in a payment of up to 250% of target for PSUs).</w:t>
            </w:r>
          </w:p>
          <w:p>
            <w:pPr>
              <w:pStyle w:val="TableContents"/>
              <w:bidi w:val="0"/>
              <w:spacing w:lineRule="atLeast" w:line="190" w:before="10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(6) </w:t>
            </w:r>
          </w:p>
          <w:p>
            <w:pPr>
              <w:pStyle w:val="TableContents"/>
              <w:bidi w:val="0"/>
              <w:spacing w:lineRule="atLeast" w:line="190" w:before="100" w:after="283"/>
              <w:jc w:val="left"/>
              <w:rPr>
                <w:rFonts w:ascii="Times New Roman;Times;serif" w:hAnsi="Times New Roman;Times;serif"/>
                <w:color w:val="000000"/>
                <w:sz w:val="17"/>
              </w:rPr>
            </w:pPr>
            <w:r>
              <w:rPr>
                <w:rFonts w:ascii="Times New Roman;Times;serif" w:hAnsi="Times New Roman;Times;serif"/>
                <w:b/>
                <w:color w:val="000000"/>
                <w:sz w:val="17"/>
                <w:u w:val="single"/>
              </w:rPr>
              <w:t>Dividend Equivalents</w:t>
            </w:r>
            <w:r>
              <w:rPr>
                <w:rFonts w:ascii="Times New Roman;Times;serif" w:hAnsi="Times New Roman;Times;serif"/>
                <w:color w:val="000000"/>
                <w:sz w:val="17"/>
              </w:rPr>
              <w:t>: The LTIP awards will accrue dividend equivalents which will be paid in cash if, and only to the extent that, the applicable vesting requirements and performance goals have been met (i.e., no payment will be made for RSUs and PSUs that do not vest).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 w:type="dxa"/>
            <w:tcBorders/>
            <w:vAlign w:val="center"/>
          </w:tcPr>
          <w:p>
            <w:pPr>
              <w:pStyle w:val="TableContents"/>
              <w:bidi w:val="0"/>
              <w:spacing w:before="0" w:after="0"/>
              <w:jc w:val="center"/>
              <w:rPr>
                <w:color w:val="000000"/>
              </w:rPr>
            </w:pPr>
            <w:r>
              <w:rPr>
                <w:color w:val="000000"/>
              </w:rPr>
              <w:t> </w:t>
            </w:r>
          </w:p>
        </w:tc>
      </w:tr>
      <w:tr>
        <w:trPr/>
        <w:tc>
          <w:tcPr>
            <w:tcW w:w="30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19" w:type="dxa"/>
            <w:tcBorders/>
            <w:vAlign w:val="center"/>
          </w:tcPr>
          <w:p>
            <w:pPr>
              <w:pStyle w:val="TableContents"/>
              <w:bidi w:val="0"/>
              <w:spacing w:before="0" w:after="0"/>
              <w:jc w:val="center"/>
              <w:rPr>
                <w:color w:val="000000"/>
              </w:rPr>
            </w:pPr>
            <w:r>
              <w:rPr>
                <w:color w:val="000000"/>
              </w:rPr>
              <w:t> </w:t>
            </w:r>
          </w:p>
        </w:tc>
        <w:tc>
          <w:tcPr>
            <w:tcW w:w="248" w:type="dxa"/>
            <w:tcBorders/>
            <w:vAlign w:val="center"/>
          </w:tcPr>
          <w:p>
            <w:pPr>
              <w:pStyle w:val="TableContents"/>
              <w:bidi w:val="0"/>
              <w:spacing w:before="0" w:after="0"/>
              <w:jc w:val="left"/>
              <w:rPr/>
            </w:pPr>
            <w:r>
              <w:rPr/>
              <w:t> </w:t>
            </w:r>
          </w:p>
        </w:tc>
        <w:tc>
          <w:tcPr>
            <w:tcW w:w="7393" w:type="dxa"/>
            <w:gridSpan w:val="11"/>
            <w:tcBorders/>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19" w:type="dxa"/>
            <w:tcBorders/>
            <w:vAlign w:val="center"/>
          </w:tcPr>
          <w:p>
            <w:pPr>
              <w:pStyle w:val="TableContents"/>
              <w:bidi w:val="0"/>
              <w:spacing w:before="0" w:after="0"/>
              <w:jc w:val="left"/>
              <w:rPr/>
            </w:pPr>
            <w:r>
              <w:rPr/>
              <w:t> </w:t>
            </w:r>
          </w:p>
        </w:tc>
        <w:tc>
          <w:tcPr>
            <w:tcW w:w="248" w:type="dxa"/>
            <w:tcBorders/>
            <w:vAlign w:val="center"/>
          </w:tcPr>
          <w:p>
            <w:pPr>
              <w:pStyle w:val="TableContents"/>
              <w:bidi w:val="0"/>
              <w:spacing w:before="0" w:after="0"/>
              <w:jc w:val="left"/>
              <w:rPr/>
            </w:pPr>
            <w:r>
              <w:rPr/>
              <w:t> </w:t>
            </w:r>
          </w:p>
        </w:tc>
        <w:tc>
          <w:tcPr>
            <w:tcW w:w="7393" w:type="dxa"/>
            <w:gridSpan w:val="11"/>
            <w:tcBorders/>
          </w:tcPr>
          <w:p>
            <w:pPr>
              <w:pStyle w:val="TableContents"/>
              <w:bidi w:val="0"/>
              <w:spacing w:before="0" w:after="283"/>
              <w:jc w:val="left"/>
              <w:rPr>
                <w:sz w:val="4"/>
                <w:szCs w:val="4"/>
              </w:rPr>
            </w:pPr>
            <w:r>
              <w:rPr>
                <w:sz w:val="4"/>
                <w:szCs w:val="4"/>
              </w:rPr>
            </w:r>
          </w:p>
        </w:tc>
      </w:tr>
    </w:tbl>
    <w:p>
      <w:pPr>
        <w:pStyle w:val="TextBody"/>
        <w:bidi w:val="0"/>
        <w:spacing w:before="70" w:after="283"/>
        <w:jc w:val="center"/>
        <w:rPr>
          <w:rFonts w:ascii="Times New Roman;Times;serif" w:hAnsi="Times New Roman;Times;serif"/>
          <w:b/>
          <w:color w:val="000000"/>
          <w:sz w:val="20"/>
        </w:rPr>
      </w:pPr>
      <w:r>
        <w:rPr>
          <w:rFonts w:ascii="Times New Roman;Times;serif" w:hAnsi="Times New Roman;Times;serif"/>
          <w:b/>
          <w:color w:val="000000"/>
          <w:sz w:val="20"/>
          <w:u w:val="single"/>
        </w:rPr>
        <w:t>Payout of 2024-2026 Fiscal Year PSU Awards (Granted in FY24)</w:t>
      </w:r>
      <w:r>
        <w:rPr>
          <w:rFonts w:ascii="Times New Roman;Times;serif" w:hAnsi="Times New Roman;Times;serif"/>
          <w:b/>
          <w:color w:val="000000"/>
          <w:sz w:val="20"/>
        </w:rPr>
        <w:t xml:space="preserve"> </w:t>
      </w:r>
    </w:p>
    <w:p>
      <w:pPr>
        <w:pStyle w:val="TextBody"/>
        <w:bidi w:val="0"/>
        <w:spacing w:lineRule="atLeast" w:line="232" w:before="1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On April 30, 2026, the Company completed the three-year performance period for the performance-based awards granted for the 2024 fiscal year (granted in June 2023), which LTIP awards consisted of PSUs subject to EBITDA metrics and PSUs subject to ROIC metrics, representing 37.5% and 37.5%, respectively, of the total value of all such awards (with the other 25% of the LTIP as time-based awards). </w:t>
      </w:r>
    </w:p>
    <w:p>
      <w:pPr>
        <w:pStyle w:val="TextBody"/>
        <w:bidi w:val="0"/>
        <w:spacing w:lineRule="atLeast" w:line="232" w:before="1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 June 2026, the Committee evaluated performance against the goals and certified the performance and corresponding payout levels to the NEOs as follows, which awards vested on June 15, 2026: </w:t>
      </w:r>
    </w:p>
    <w:tbl>
      <w:tblPr>
        <w:tblW w:w="10205" w:type="dxa"/>
        <w:jc w:val="left"/>
        <w:tblInd w:w="0" w:type="dxa"/>
        <w:tblLayout w:type="fixed"/>
        <w:tblCellMar>
          <w:top w:w="0" w:type="dxa"/>
          <w:left w:w="0" w:type="dxa"/>
          <w:bottom w:w="0" w:type="dxa"/>
          <w:right w:w="0" w:type="dxa"/>
        </w:tblCellMar>
      </w:tblPr>
      <w:tblGrid>
        <w:gridCol w:w="185"/>
        <w:gridCol w:w="1803"/>
        <w:gridCol w:w="170"/>
        <w:gridCol w:w="170"/>
        <w:gridCol w:w="770"/>
        <w:gridCol w:w="170"/>
        <w:gridCol w:w="170"/>
        <w:gridCol w:w="710"/>
        <w:gridCol w:w="170"/>
        <w:gridCol w:w="170"/>
        <w:gridCol w:w="785"/>
        <w:gridCol w:w="170"/>
        <w:gridCol w:w="170"/>
        <w:gridCol w:w="969"/>
        <w:gridCol w:w="170"/>
        <w:gridCol w:w="170"/>
        <w:gridCol w:w="1468"/>
        <w:gridCol w:w="170"/>
        <w:gridCol w:w="170"/>
        <w:gridCol w:w="1258"/>
        <w:gridCol w:w="217"/>
      </w:tblGrid>
      <w:tr>
        <w:trPr/>
        <w:tc>
          <w:tcPr>
            <w:tcW w:w="185" w:type="dxa"/>
            <w:tcBorders/>
            <w:shd w:fill="D9D9D9" w:val="clear"/>
            <w:vAlign w:val="center"/>
          </w:tcPr>
          <w:p>
            <w:pPr>
              <w:pStyle w:val="TableContents"/>
              <w:bidi w:val="0"/>
              <w:spacing w:before="0" w:after="0"/>
              <w:jc w:val="left"/>
              <w:rPr/>
            </w:pPr>
            <w:r>
              <w:rPr/>
              <w:t> </w:t>
            </w:r>
          </w:p>
        </w:tc>
        <w:tc>
          <w:tcPr>
            <w:tcW w:w="9803" w:type="dxa"/>
            <w:gridSpan w:val="19"/>
            <w:tcBorders/>
            <w:shd w:fill="D9D9D9" w:val="clear"/>
            <w:vAlign w:val="center"/>
          </w:tcPr>
          <w:p>
            <w:pPr>
              <w:pStyle w:val="TableContents"/>
              <w:bidi w:val="0"/>
              <w:spacing w:before="0" w:after="0"/>
              <w:jc w:val="left"/>
              <w:rPr/>
            </w:pPr>
            <w:r>
              <w:rPr/>
              <w:t>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3" w:type="dxa"/>
            <w:gridSpan w:val="19"/>
            <w:tcBorders>
              <w:bottom w:val="single" w:sz="8" w:space="0" w:color="000000"/>
            </w:tcBorders>
            <w:shd w:fill="D9D9D9" w:val="clear"/>
            <w:tcMar>
              <w:bottom w:w="2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2024 PSU Payout </w:t>
            </w:r>
          </w:p>
        </w:tc>
        <w:tc>
          <w:tcPr>
            <w:tcW w:w="217"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80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2024 PSU Metrics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Threshold</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(50%)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Target</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(100%)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Maximum</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(200%)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69" w:type="dxa"/>
            <w:tcBorders>
              <w:bottom w:val="single" w:sz="8" w:space="0" w:color="000000"/>
            </w:tcBorders>
            <w:shd w:fill="D9D9D9" w:val="clear"/>
            <w:tcMar>
              <w:bottom w:w="2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Actual Results</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468" w:type="dxa"/>
            <w:tcBorders>
              <w:bottom w:val="single" w:sz="8" w:space="0" w:color="000000"/>
            </w:tcBorders>
            <w:shd w:fill="D9D9D9" w:val="clear"/>
            <w:tcMar>
              <w:bottom w:w="2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TSR Modifier (+ 25%)?</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258" w:type="dxa"/>
            <w:tcBorders>
              <w:bottom w:val="single" w:sz="8" w:space="0" w:color="000000"/>
            </w:tcBorders>
            <w:shd w:fill="D9D9D9" w:val="clear"/>
            <w:tcMar>
              <w:bottom w:w="2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 of Target Earned </w:t>
            </w:r>
          </w:p>
        </w:tc>
        <w:tc>
          <w:tcPr>
            <w:tcW w:w="217"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803" w:type="dxa"/>
            <w:tcBorders>
              <w:bottom w:val="single" w:sz="8" w:space="0" w:color="000000"/>
            </w:tcBorders>
            <w:tcMar>
              <w:bottom w:w="28"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EBITDA (3-Year Cumulative)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$2,925M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$3,102M</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$3,285M</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6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$3,744M</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6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Yes - 93rd percentile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5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250%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3" w:type="dxa"/>
            <w:tcBorders/>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ROIC (3-Year Average)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8.0%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10.0%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11.0%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9"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12.1%</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8"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Yes - 93rd percentile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8"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250%</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803"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69"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68"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58" w:type="dxa"/>
            <w:tcBorders>
              <w:bottom w:val="single" w:sz="8" w:space="0" w:color="000000"/>
            </w:tcBorders>
            <w:tcMar>
              <w:bottom w:w="28" w:type="dxa"/>
            </w:tcMar>
            <w:vAlign w:val="center"/>
          </w:tcPr>
          <w:p>
            <w:pPr>
              <w:pStyle w:val="TableContents"/>
              <w:bidi w:val="0"/>
              <w:spacing w:before="0" w:after="0"/>
              <w:jc w:val="left"/>
              <w:rPr/>
            </w:pPr>
            <w:r>
              <w:rPr/>
              <w:t>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9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2" descr=""/>
                          <pic:cNvPicPr>
                            <a:picLocks noChangeAspect="1" noChangeArrowheads="1"/>
                          </pic:cNvPicPr>
                        </pic:nvPicPr>
                        <pic:blipFill>
                          <a:blip r:embed="rId93"/>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2" w:name="ny20072699x1_def14a_109-cda_pg14"/>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lineRule="atLeast" w:line="226" w:before="125"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As noted, the Company’s Relative TSR for the applicable performance period was outstanding – at the 93rd percentile of the TSR Peer Group (actual TSR for the period was 249%) – and as such, was in the top quartile of the group, resulting in a 25% increase to the number of PSUs actually awarded, for a total LTIP payout at 250% of target. </w:t>
      </w:r>
    </w:p>
    <w:p>
      <w:pPr>
        <w:pStyle w:val="TextBody"/>
        <w:bidi w:val="0"/>
        <w:spacing w:before="256" w:after="283"/>
        <w:jc w:val="center"/>
        <w:rPr>
          <w:rFonts w:ascii="Times New Roman;Times;serif" w:hAnsi="Times New Roman;Times;serif"/>
          <w:b/>
          <w:color w:val="000000"/>
          <w:sz w:val="20"/>
        </w:rPr>
      </w:pPr>
      <w:r>
        <w:rPr>
          <w:rFonts w:ascii="Times New Roman;Times;serif" w:hAnsi="Times New Roman;Times;serif"/>
          <w:b/>
          <w:color w:val="000000"/>
          <w:sz w:val="20"/>
          <w:u w:val="single"/>
        </w:rPr>
        <w:t>Other Provisions for Equity Awards</w:t>
      </w:r>
      <w:r>
        <w:rPr>
          <w:rFonts w:ascii="Times New Roman;Times;serif" w:hAnsi="Times New Roman;Times;serif"/>
          <w:b/>
          <w:color w:val="000000"/>
          <w:sz w:val="20"/>
        </w:rPr>
        <w:t xml:space="preserve"> </w:t>
      </w:r>
    </w:p>
    <w:p>
      <w:pPr>
        <w:pStyle w:val="TextBody"/>
        <w:bidi w:val="0"/>
        <w:spacing w:lineRule="atLeast" w:line="226" w:before="16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Retirement</w:t>
      </w:r>
      <w:r>
        <w:rPr>
          <w:rFonts w:ascii="Times New Roman;Times;serif" w:hAnsi="Times New Roman;Times;serif"/>
          <w:b w:val="false"/>
          <w:color w:val="000000"/>
          <w:sz w:val="19"/>
        </w:rPr>
        <w:t xml:space="preserve">: The equity award agreements contain retirement provisions which provide for a “rule of 65” (55 years of age + 10 full years of service) and “rule of 75” (age + full years of service), whereby if either rule is satisfied, a participant who separates by reason of normal retirement will retain all of his or her unvested RSUs and PSUs, which will vest as originally scheduled, subject to the achievement of applicable performance goals in the case of PSUs. As of April 30, 2026, none of the NEOs had satisfied the retirement conditions. The Committee presently intends to continue this practice and believes it rewards long-term, successful service to the Company while encouraging natural turnover at appropriate times. </w:t>
      </w:r>
    </w:p>
    <w:p>
      <w:pPr>
        <w:pStyle w:val="TextBody"/>
        <w:bidi w:val="0"/>
        <w:spacing w:lineRule="atLeast" w:line="226" w:before="160" w:after="283"/>
        <w:ind w:left="0" w:right="0" w:firstLine="400"/>
        <w:jc w:val="left"/>
        <w:rPr>
          <w:color w:val="000000"/>
        </w:rPr>
      </w:pPr>
      <w:r>
        <w:rPr>
          <w:color w:val="000000"/>
        </w:rPr>
        <w:t>“</w:t>
      </w:r>
      <w:r>
        <w:rPr>
          <w:rFonts w:ascii="Times New Roman;Times;serif" w:hAnsi="Times New Roman;Times;serif"/>
          <w:b/>
          <w:color w:val="000000"/>
          <w:sz w:val="19"/>
        </w:rPr>
        <w:t>Double-Trigger” Change of Control</w:t>
      </w:r>
      <w:r>
        <w:rPr>
          <w:rFonts w:ascii="Times New Roman;Times;serif" w:hAnsi="Times New Roman;Times;serif"/>
          <w:b w:val="false"/>
          <w:color w:val="000000"/>
          <w:sz w:val="19"/>
        </w:rPr>
        <w:t xml:space="preserve">: As set forth in the 2025 Stock Incentive Plan (the “2025 Plan”) (and as also set forth in the prior 2018 Stock Incentive Plan (“2018 Plan”)) and applicable equity award agreements, vesting of equity awards will not accelerate upon a change of control unless (i) the awards are not assumed by the acquirer or (ii) a participant is terminated without cause or resigns for good reason within 24 months following the change of control. As such, the Company does not have any “single-trigger” change of control provisions in any of its equity award agreements. </w:t>
      </w:r>
    </w:p>
    <w:p>
      <w:pPr>
        <w:pStyle w:val="TextBody"/>
        <w:bidi w:val="0"/>
        <w:spacing w:before="256"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Benefits and Perquisites</w:t>
      </w:r>
      <w:r>
        <w:rPr>
          <w:rFonts w:ascii="Times New Roman;Times;serif" w:hAnsi="Times New Roman;Times;serif"/>
          <w:b/>
          <w:color w:val="000000"/>
          <w:sz w:val="19"/>
        </w:rPr>
        <w:t xml:space="preserve"> </w:t>
      </w:r>
    </w:p>
    <w:p>
      <w:pPr>
        <w:pStyle w:val="TextBody"/>
        <w:bidi w:val="0"/>
        <w:spacing w:lineRule="atLeast" w:line="226" w:before="16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We provide our NEOs’ with benefits and perquisites that the Committee believes are important components of each NEOs’ compensation and benefits package (for additional details for the applicable NEOs, see Footnote 3 to the Summary Compensation Table): </w:t>
      </w:r>
    </w:p>
    <w:p>
      <w:pPr>
        <w:pStyle w:val="Normal"/>
        <w:bidi w:val="0"/>
        <w:spacing w:before="0" w:after="0"/>
        <w:jc w:val="left"/>
        <w:rPr>
          <w:sz w:val="4"/>
          <w:szCs w:val="4"/>
        </w:rPr>
      </w:pPr>
      <w:r>
        <w:rPr>
          <w:sz w:val="4"/>
          <w:szCs w:val="4"/>
        </w:rPr>
      </w:r>
      <w:bookmarkStart w:id="93" w:name="tBAP"/>
      <w:bookmarkStart w:id="94" w:name="tBAP"/>
      <w:bookmarkEnd w:id="94"/>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D9D9D9" w:val="clear"/>
            <w:vAlign w:val="center"/>
          </w:tcPr>
          <w:p>
            <w:pPr>
              <w:pStyle w:val="TableContents"/>
              <w:bidi w:val="0"/>
              <w:spacing w:before="0" w:after="0"/>
              <w:jc w:val="left"/>
              <w:rPr/>
            </w:pPr>
            <w:r>
              <w:rPr/>
              <w:t> </w:t>
            </w:r>
          </w:p>
        </w:tc>
        <w:tc>
          <w:tcPr>
            <w:tcW w:w="9805"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5"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Benefits and Perquisites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rPr>
              <w:t>Benefits</w:t>
            </w:r>
            <w:r>
              <w:rPr>
                <w:rFonts w:ascii="Times New Roman;Times;serif" w:hAnsi="Times New Roman;Times;serif"/>
                <w:b w:val="false"/>
                <w:color w:val="000000"/>
                <w:sz w:val="18"/>
              </w:rPr>
              <w:t>: Our NEOs are eligible to participate in health, life insurance and retirement benefits that are the same as those offered to the Company’s other team members.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rPr>
              <w:t>Perquisites</w:t>
            </w:r>
            <w:r>
              <w:rPr>
                <w:rFonts w:ascii="Times New Roman;Times;serif" w:hAnsi="Times New Roman;Times;serif"/>
                <w:b w:val="false"/>
                <w:color w:val="000000"/>
                <w:sz w:val="18"/>
              </w:rPr>
              <w:t xml:space="preserve">: We provide our named executive officers with perquisites and other personal benefits that we believe to be reasonable and competitive with those offered by our peers. These limited perquisites include (i) financial planning and tax services, (ii) an executive physical, (iii) identity theft monitoring/protection; (iv) a $1,500 per month auto allowance; and (v) for Mr. Rebelez, an additional 10-year level premium term life insurance policy with a death benefit of $1,000,000. The Company previously provided supplemental disability insurance through December 31, 2025, and discontinued this benefit effective January 1, 2026. Use of Company aircraft is limited to business-related travel, except that spouses of NEOs may travel on Company aircraft if accompanying the NEO to, and participating in, a business function. In addition, pursuant to the terms of his employment agreement, Mr. Rebelez is entitled to up to 50 hours per fiscal year of personal flight time on Company aircraft, subject to the Company’s policies regarding aircraft usage. We also provided limited threat monitoring for our NEOs during the 2026 fiscal year as part of a broader executive risk mitigation strategy developed by our Asset Protection team. The Company does not provide our NEOs with any gross-ups to reimburse for tax obligations in connection with the personal use of Company-owned vehicles or aircraft or their receipt of any other benefits or perquisites.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rPr>
              <w:t>Officer Severance Plan</w:t>
            </w:r>
            <w:r>
              <w:rPr>
                <w:rFonts w:ascii="Times New Roman;Times;serif" w:hAnsi="Times New Roman;Times;serif"/>
                <w:b w:val="false"/>
                <w:color w:val="000000"/>
                <w:sz w:val="18"/>
              </w:rPr>
              <w:t xml:space="preserve">: Mr. Brennan and Mr. Frazell are eligible executives under the Casey’s General Stores, Inc. Officer Severance Plan (the “Officer Severance Plan”). The Officer Severance Plan provides that if their employment is terminated by the Company without cause or by them for good reason (each as defined in the Officer Severance Plan), other than within 24 months following a change of control, they would be entitled to cash severance payments equal to 18 months’ base salary and 18 months of COBRA premiums, payable in equal installments over 18 months, subject to the execution of and compliance with a separation agreement and general release in favor of the Company, including confidentiality and non-solicitation covenants. In the event of a termination that entitles Mr. Brennan or Mr. Frazell to severance under any change of control or similar agreement, they would instead become eligible for the benefits set forth in such change of control agreement (i.e., no duplicative payments between severance and change of control benefits).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Mr. Rebelez, Mr. Bramlage and Ms. Williams are provided severance benefits under their employment agreements that mirror the Officer Severance Plan, described immediately above, except that Mr. Rebelez’s severance payments would be equal to 24 months’ base salary, paid in a lump-sum, and 24 months of COBRA premiums, payable in equal installments over 24 months.</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9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3" descr=""/>
                          <pic:cNvPicPr>
                            <a:picLocks noChangeAspect="1" noChangeArrowheads="1"/>
                          </pic:cNvPicPr>
                        </pic:nvPicPr>
                        <pic:blipFill>
                          <a:blip r:embed="rId94"/>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5" w:name="ny20072699x1_def14a_109-cda_pg15"/>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6" w:name="tOCPP"/>
      <w:bookmarkEnd w:id="96"/>
      <w:r>
        <w:rPr>
          <w:rFonts w:ascii="Times New Roman;Times;serif" w:hAnsi="Times New Roman;Times;serif"/>
          <w:b/>
          <w:color w:val="000000"/>
          <w:sz w:val="20"/>
          <w:u w:val="single"/>
        </w:rPr>
        <w:t>OTHER COMPENSATION PROGRAMS AND POLICIES</w:t>
      </w:r>
      <w:r>
        <w:rPr>
          <w:rFonts w:ascii="Times New Roman;Times;serif" w:hAnsi="Times New Roman;Times;serif"/>
          <w:b/>
          <w:color w:val="000000"/>
          <w:sz w:val="20"/>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Company maintains the following additional compensation programs or plans that supplement the primary executive compensation elements described above: </w:t>
      </w:r>
    </w:p>
    <w:p>
      <w:pPr>
        <w:pStyle w:val="Normal"/>
        <w:bidi w:val="0"/>
        <w:spacing w:before="0" w:after="0"/>
        <w:ind w:left="0" w:right="0" w:hanging="0"/>
        <w:jc w:val="left"/>
        <w:rPr>
          <w:sz w:val="4"/>
          <w:szCs w:val="4"/>
        </w:rPr>
      </w:pPr>
      <w:r>
        <w:rPr>
          <w:sz w:val="4"/>
          <w:szCs w:val="4"/>
        </w:rPr>
      </w:r>
      <w:bookmarkStart w:id="97" w:name="tAP"/>
      <w:bookmarkStart w:id="98" w:name="tAP"/>
      <w:bookmarkEnd w:id="98"/>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D9D9D9" w:val="clear"/>
            <w:vAlign w:val="center"/>
          </w:tcPr>
          <w:p>
            <w:pPr>
              <w:pStyle w:val="TableContents"/>
              <w:bidi w:val="0"/>
              <w:spacing w:before="0" w:after="0"/>
              <w:jc w:val="left"/>
              <w:rPr/>
            </w:pPr>
            <w:r>
              <w:rPr/>
              <w:t> </w:t>
            </w:r>
          </w:p>
        </w:tc>
        <w:tc>
          <w:tcPr>
            <w:tcW w:w="9805"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5" w:type="dxa"/>
            <w:tcBorders>
              <w:bottom w:val="single" w:sz="8" w:space="0" w:color="000000"/>
            </w:tcBorders>
            <w:shd w:fill="D9D9D9" w:val="clear"/>
            <w:tcMar>
              <w:bottom w:w="6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Additional Programs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Employment Agreements: </w:t>
            </w:r>
            <w:r>
              <w:rPr>
                <w:rFonts w:ascii="Times New Roman;Times;serif" w:hAnsi="Times New Roman;Times;serif"/>
                <w:b w:val="false"/>
                <w:color w:val="000000"/>
                <w:sz w:val="18"/>
              </w:rPr>
              <w:t>During the 2026 fiscal year, we were party to employment agreements with Mr. Rebelez, Mr. Bramlage and Ms. Williams; none existed with any other officers. For a further description of the agreements, see below in the section entitled “Executive Compensation–Employment Agreements.”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Change of Control Agreements: </w:t>
            </w:r>
            <w:r>
              <w:rPr>
                <w:rFonts w:ascii="Times New Roman;Times;serif" w:hAnsi="Times New Roman;Times;serif"/>
                <w:b w:val="false"/>
                <w:color w:val="000000"/>
                <w:sz w:val="18"/>
              </w:rPr>
              <w:t>We maintain “double-trigger” change of control agreements with our NEOs and 29 other officers. The purpose of the agreements is to encourage these individuals to continue to carry out their duties in the event of a possible change of control of the Company. For a further description of the agreements for the NEOs, see below in the section entitled “Executive Compensation–Change of Control Severance Agreements.”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401(k) Plan: </w:t>
            </w:r>
            <w:r>
              <w:rPr>
                <w:rFonts w:ascii="Times New Roman;Times;serif" w:hAnsi="Times New Roman;Times;serif"/>
                <w:b w:val="false"/>
                <w:color w:val="000000"/>
                <w:sz w:val="18"/>
              </w:rPr>
              <w:t xml:space="preserve">All NEOs are eligible to participate in the 401(k) Plan on the same terms and conditions as other eligible, full-time employees, under which the Company makes matching contributions up to a certain percentage of the participant’s salary.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Deferred Compensation Plan: </w:t>
            </w:r>
            <w:r>
              <w:rPr>
                <w:rFonts w:ascii="Times New Roman;Times;serif" w:hAnsi="Times New Roman;Times;serif"/>
                <w:b w:val="false"/>
                <w:color w:val="000000"/>
                <w:sz w:val="18"/>
              </w:rPr>
              <w:t>The Company maintains the Executive Nonqualified Excess Plan (the “Deferred Compensation Plan”), a nonqualified deferred compensation plan that allows the participants, including our NEOs, to defer a portion of their income without the limits imposed by the Internal Revenue Code on 401(k) deferrals. The Company does not make matching or other contributions to the Deferred Compensation Plan and there are no guaranteed or premium returns for participants. For a further description of the plan, see below in the section entitled “Executive Compensation–Nonqualified Deferred Compensation.”</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Company also has the following conservative compensation policies that discourage excessive risk-taking and focus on long-term success: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D9D9D9" w:val="clear"/>
            <w:vAlign w:val="center"/>
          </w:tcPr>
          <w:p>
            <w:pPr>
              <w:pStyle w:val="TableContents"/>
              <w:bidi w:val="0"/>
              <w:spacing w:before="0" w:after="0"/>
              <w:jc w:val="left"/>
              <w:rPr/>
            </w:pPr>
            <w:r>
              <w:rPr/>
              <w:t> </w:t>
            </w:r>
          </w:p>
        </w:tc>
        <w:tc>
          <w:tcPr>
            <w:tcW w:w="9805"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5"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Other Compensation Policies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rPr>
              <w:t>Stock Ownership Policy</w:t>
            </w:r>
            <w:r>
              <w:rPr>
                <w:rFonts w:ascii="Times New Roman;Times;serif" w:hAnsi="Times New Roman;Times;serif"/>
                <w:b w:val="false"/>
                <w:color w:val="000000"/>
                <w:sz w:val="18"/>
              </w:rPr>
              <w:t xml:space="preserve">: The Company has robust stock ownership requirements for its officers, including our NEOs. The policy requires each officer to own a number of shares of Common Stock within a five-year period equal to a multiple of base salary, as follows: CEO—5x, Chief/SVPs—3x, VPs—2x. For this purpose, restricted stock, unvested RSUs and vested 401(k) Plan shares may be counted towards the ownership requirement, but PSUs and stock options are not counted. As of July 6, 2026, all of the NEOs had met their respective ownership requirement, as follows: Mr. Rebelez (required: $7,000,000; owned: $91,398,094), Mr. Bramlage (required: $2,550,000; owned: $29,718,561), Ms. Williams (required: $2,550,000; owned: $21,599,383), Mr. Brennan (required: $2,250,000; owned: $12,099,182) and Mr. Frazell (required: $1,830,000; owned: $9,028,937). These ownership levels coupled with the focus of our pay program on incentive-based compensation further illustrates the strong ties between our NEOs’ and shareholders’ interests.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rPr>
              <w:t>Compensation Recovery (“Clawback”) Policy</w:t>
            </w:r>
            <w:r>
              <w:rPr>
                <w:rFonts w:ascii="Times New Roman;Times;serif" w:hAnsi="Times New Roman;Times;serif"/>
                <w:b w:val="false"/>
                <w:color w:val="000000"/>
                <w:sz w:val="18"/>
              </w:rPr>
              <w:t>: The Company shall recoup, in all appropriate circumstances and in accordance with applicable law, any incentive payment made to an executive officer or former executive officer whenever (i) the payment was based upon achieving certain financial results that were subsequently the subject of an accounting restatement due to the material noncompliance of the Company with any financial reporting requirement under the securities laws (other than changes to historical financial statements that do not represent error corrections including a restatement caused by a change in applicable accounting rules or interpretations), and (ii) a lower payment would have been made to the executive officer or former executive officer based on the restated financial results. The Company will, to the extent practicable, recoup from the executive officer the amount by which the incentive payments for the recoverable period exceeded the lower payment that would have been made based on the restated financial results.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rPr>
              <w:t>Hedging and Pledging</w:t>
            </w:r>
            <w:r>
              <w:rPr>
                <w:rFonts w:ascii="Times New Roman;Times;serif" w:hAnsi="Times New Roman;Times;serif"/>
                <w:b w:val="false"/>
                <w:color w:val="000000"/>
                <w:sz w:val="18"/>
              </w:rPr>
              <w:t>: The Company prohibits hedging of Company stock and other short-term speculative transactions, as well as the pledging of Company stock. For a further description, see above in the section entitled “Governance of the Company–Accountability.”</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rPr>
              <w:t>No Tax Gross-Ups</w:t>
            </w:r>
            <w:r>
              <w:rPr>
                <w:rFonts w:ascii="Times New Roman;Times;serif" w:hAnsi="Times New Roman;Times;serif"/>
                <w:b w:val="false"/>
                <w:color w:val="000000"/>
                <w:sz w:val="18"/>
              </w:rPr>
              <w:t xml:space="preserve">: The NEOs are not entitled to any excise tax gross-up payments with respect to Section 280G. Instead, their change of control agreements provide for a “best net” approach, whereby change of control payments are limited to the threshold amount under Section 280G if it would be more favorable to the NEO on a net after-tax basis than receiving the full payments and paying the excise taxes. In addition, neither the 2018 nor 2025 Stock Incentive Plan provide for tax gross-ups for any participant.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35" w:right="0" w:hanging="0"/>
              <w:jc w:val="left"/>
              <w:rPr>
                <w:rFonts w:ascii="Times New Roman;Times;serif" w:hAnsi="Times New Roman;Times;serif"/>
                <w:b/>
                <w:color w:val="000000"/>
                <w:sz w:val="18"/>
              </w:rPr>
            </w:pPr>
            <w:r>
              <w:rPr>
                <w:rFonts w:ascii="Times New Roman;Times;serif" w:hAnsi="Times New Roman;Times;serif"/>
                <w:b/>
                <w:color w:val="000000"/>
                <w:sz w:val="18"/>
              </w:rPr>
              <w:t>Timing of Equity Awards</w:t>
            </w:r>
            <w:r>
              <w:rPr>
                <w:rFonts w:ascii="Times New Roman;Times;serif" w:hAnsi="Times New Roman;Times;serif"/>
                <w:b w:val="false"/>
                <w:color w:val="000000"/>
                <w:sz w:val="18"/>
              </w:rPr>
              <w:t>: The Committee (or the Board, for the CEO’s awards) generally approves equity awards during its regularly scheduled meeting in the first quarter of the fiscal year (or, for eligible participants hired thereafter, during its next regularly scheduled quarterly meeting; and, for director awards, on the date of the annual shareholders’ meeting). These awards are not granted in anticipation of the release of material non-public information, nor is the timing of disclosures of material non-public information based on award grant dates. The Committee has not awarded any stock options or similar awards since 2011. However, if it chooses to do so, options can only be awarded by the Committee at an in-person meeting and not by written consent. In addition, options can be granted only within a two-week period following the release of the Company’s annual financial results in June and only if directors are not at that time in possession of material non-public information about the Company. Under this policy, the grant date of options is the date of the meeting when the grant is approved, and all options must be granted with an exercise price equal to the closing price of Common Stock on the grant date.</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9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4" descr=""/>
                          <pic:cNvPicPr>
                            <a:picLocks noChangeAspect="1" noChangeArrowheads="1"/>
                          </pic:cNvPicPr>
                        </pic:nvPicPr>
                        <pic:blipFill>
                          <a:blip r:embed="rId95"/>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9" w:name="ny20072699x1_def14a_109-cda_pg16"/>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0" w:name="tTAX"/>
      <w:bookmarkEnd w:id="100"/>
      <w:r>
        <w:rPr>
          <w:rFonts w:ascii="Times New Roman;Times;serif" w:hAnsi="Times New Roman;Times;serif"/>
          <w:b/>
          <w:color w:val="000000"/>
          <w:sz w:val="20"/>
          <w:u w:val="single"/>
        </w:rPr>
        <w:t>TAX TREATMENT OF CERTAIN COMPENSATION</w:t>
      </w:r>
      <w:r>
        <w:rPr>
          <w:rFonts w:ascii="Times New Roman;Times;serif" w:hAnsi="Times New Roman;Times;serif"/>
          <w:b/>
          <w:color w:val="000000"/>
          <w:sz w:val="20"/>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Tax Reform Act, which was signed into law on December 22, 2017, eliminated the exception for “performance-based compensation” under Section 162(m) of the Code with respect to the Company’s 2019 fiscal year and thereafter. As a result, the Company expects that compensation over $1,000,000 per year paid to any NEO (and any person who was a named executive officer for any year beginning with the Company’s 2018 fiscal year) will be nondeductible under Section 162(m). </w:t>
      </w:r>
    </w:p>
    <w:p>
      <w:pPr>
        <w:pStyle w:val="TextBody"/>
        <w:bidi w:val="0"/>
        <w:spacing w:before="280" w:after="283"/>
        <w:jc w:val="center"/>
        <w:rPr>
          <w:rFonts w:ascii="Times New Roman;Times;serif" w:hAnsi="Times New Roman;Times;serif"/>
          <w:b/>
          <w:color w:val="000000"/>
          <w:sz w:val="20"/>
        </w:rPr>
      </w:pPr>
      <w:bookmarkStart w:id="101" w:name="tREC"/>
      <w:bookmarkEnd w:id="101"/>
      <w:r>
        <w:rPr>
          <w:rFonts w:ascii="Times New Roman;Times;serif" w:hAnsi="Times New Roman;Times;serif"/>
          <w:b/>
          <w:color w:val="000000"/>
          <w:sz w:val="20"/>
          <w:u w:val="single"/>
        </w:rPr>
        <w:t>RECENT EXECUTIVE COMPENSATION DECISIONS FOR THE 2027 FISCAL YEAR</w:t>
      </w:r>
      <w:r>
        <w:rPr>
          <w:rFonts w:ascii="Times New Roman;Times;serif" w:hAnsi="Times New Roman;Times;serif"/>
          <w:b/>
          <w:color w:val="000000"/>
          <w:sz w:val="20"/>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Since the end of the 2026 fiscal year, the following decisions have been made by the Committee and the Board, as applicable, with respect to compensation matters for the 2027 fiscal year for the Company’s NEOs: </w:t>
      </w:r>
    </w:p>
    <w:p>
      <w:pPr>
        <w:pStyle w:val="TextBody"/>
        <w:bidi w:val="0"/>
        <w:spacing w:before="18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Base Salaries</w:t>
      </w:r>
      <w:r>
        <w:rPr>
          <w:rFonts w:ascii="Times New Roman;Times;serif" w:hAnsi="Times New Roman;Times;serif"/>
          <w:b w:val="false"/>
          <w:color w:val="000000"/>
          <w:sz w:val="19"/>
        </w:rPr>
        <w:t>: Base salary increases for the following NEOs for the 2027 fiscal year are as follows: Mr. Rebelez, $50,000 increase to $1,400,000; Mr. Bramlage, $40,000 increase to $850,000; Ms. Williams, $40,000 increase to $850,000; Mr. Brennan, $130,000 increase to $750,000; and Mr. Frazell, $30,000 increase to $610,000.</w:t>
      </w:r>
    </w:p>
    <w:p>
      <w:pPr>
        <w:pStyle w:val="TextBody"/>
        <w:bidi w:val="0"/>
        <w:spacing w:before="18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AIP</w:t>
      </w:r>
      <w:r>
        <w:rPr>
          <w:rFonts w:ascii="Times New Roman;Times;serif" w:hAnsi="Times New Roman;Times;serif"/>
          <w:b w:val="false"/>
          <w:color w:val="000000"/>
          <w:sz w:val="19"/>
        </w:rPr>
        <w:t xml:space="preserve">: The AIP structure, metrics and goals for the 2027 fiscal year was approved, which, consistent with the 2026 fiscal year, will be based 60% on EBITDA, with the remaining 40% based on same-store sales growth in the inside category. The payout at target is based on a percentage of 2027 fiscal year base salary: for Mr. Rebelez, 150%; Mr. Bramlage, 100%; Ms. Williams, 100%; Mr. Brennan, 100%; and Mr. Frazell, 75%, each with an overall payout range from 0% to 200% of target depending on performance. These amounts are unchanged from fiscal year 2026 levels, except for Mr. Rebelez and Mr. Brennan, whose targets were each increased by 25%. All bonuses earned under the plan will be paid in cash. </w:t>
      </w:r>
    </w:p>
    <w:p>
      <w:pPr>
        <w:pStyle w:val="TextBody"/>
        <w:bidi w:val="0"/>
        <w:spacing w:before="18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LTIP</w:t>
      </w:r>
      <w:r>
        <w:rPr>
          <w:rFonts w:ascii="Times New Roman;Times;serif" w:hAnsi="Times New Roman;Times;serif"/>
          <w:b w:val="false"/>
          <w:color w:val="000000"/>
          <w:sz w:val="19"/>
        </w:rPr>
        <w:t xml:space="preserve">: The LTIP structure, metrics and goals for the 2027 fiscal year were approved and, consistent with the 2026 fiscal year, will be based on a percentage of 2027 fiscal year base salary, or for Mr. Rebelez, a target dollar amount instead of a percentage. Target award opportunities remain unchanged from fiscal year 2026, except for Mr. Rebelez (increased from $9,275,000 to $10,150,000), and Mr. Brennan (increased from 275% to 325%). The resulting targets are: Mr. Rebelez, $10,150,000; Mr. Bramlage, 325%; Ms. Williams, 350%; Mr. Brennan, 325%; and Mr. Frazell, 275%. The LTIP structure will again consist of time-based RSUs comprising 25% of the award amount, PSUs subject to EBITDA performance goals comprising 37.5% of the award amount and PSUs subject to ROIC performance goals comprising 37.5% of the award amount. The PSUs granted represent a target amount, with the number of shares awarded based on the Company’s achievement of threshold (50% awarded), target (100% awarded) and maximum (200% awarded) performance goals over a three-year performance period (fiscal years 2027-2029). In addition, the awards will accrue dividend equivalents (which are paid in cash upon vesting only if, and to the extent that, the underlying awards vest) and the PSUs will be subject to the TSR Modifier. The RSUs will vest in equal installments on June 15, 2027-2029 and the PSUs will vest in full on June 15, 2029, subject to satisfaction of the applicable performance goals and application of the TSR Modifier, with each generally subject to continued employment through the vesting date, except as otherwise set forth in the applicable award agreement. The LTIP awards are granted under the Company’s 2025 Stock Incentive Plan, which was approved by the shareholders in fiscal year 2026.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base salary increases noted above reflect market adjustments, while maintaining a compensation structure in which a significant majority of each NEO’s total direct compensation remains at risk and performance-based. These actions also reflect the Company’s strong financial and operating results, the NEOs’ tenure, and their individual performance and contributions during the 2026 fiscal year. The adjustment for Mr. Rebelez also reflects the Company’s strong performance and the Committee’s recognition of his leadership and contributions in driving those results. The adjustments for Mr. Brennan reflect the Committee’s focus on retention, aligning compensation with the scope of his role and internal compensation equity.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As a further part of its review of executive compensation practices for fiscal year 2027, the Committee also approved updates to the Company’s form of equity award agreements for the NEOs (and all other officers of the Company) for all awards made on or after June 4, 2026. The terms of the updated form of equity award agreements are substantially similar to the existing form of award agreements, except for the addition of non-competition, non-solicitation and confidentiality provisions to align with substantially similar provisions already contained in the existing employment agreements of Mr. Rebelez, Mr. Bramlage and Ms. Williams. The Committee determined that incorporating these provisions into the Company’s long-term incentive awards supports the protection of business interests and aligns executive officers’ interests with those of our shareholders.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9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5" descr=""/>
                          <pic:cNvPicPr>
                            <a:picLocks noChangeAspect="1" noChangeArrowheads="1"/>
                          </pic:cNvPicPr>
                        </pic:nvPicPr>
                        <pic:blipFill>
                          <a:blip r:embed="rId96"/>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2" w:name="ny20072699x1_def14a_109-cda_pg17"/>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bookmarkStart w:id="103" w:name="tCCR"/>
      <w:bookmarkEnd w:id="103"/>
      <w:r>
        <w:rPr>
          <w:rFonts w:ascii="Times New Roman;Times;serif" w:hAnsi="Times New Roman;Times;serif"/>
          <w:b/>
          <w:color w:val="000000"/>
          <w:sz w:val="24"/>
          <w:u w:val="single"/>
        </w:rPr>
        <w:t>COMPENSATION COMMITTEE REPORT</w:t>
      </w:r>
      <w:r>
        <w:rPr>
          <w:rFonts w:ascii="Times New Roman;Times;serif" w:hAnsi="Times New Roman;Times;serif"/>
          <w:b/>
          <w:color w:val="000000"/>
          <w:sz w:val="24"/>
        </w:rPr>
        <w:t xml:space="preserve"> </w:t>
      </w:r>
    </w:p>
    <w:p>
      <w:pPr>
        <w:pStyle w:val="TextBody"/>
        <w:bidi w:val="0"/>
        <w:spacing w:before="180" w:after="283"/>
        <w:ind w:left="0" w:right="0" w:firstLine="400"/>
        <w:jc w:val="left"/>
        <w:rPr/>
      </w:pPr>
      <w:r>
        <w:rPr>
          <w:rFonts w:ascii="Times New Roman;Times;serif" w:hAnsi="Times New Roman;Times;serif"/>
          <w:color w:val="000000"/>
          <w:sz w:val="19"/>
        </w:rPr>
        <w:t xml:space="preserve">The Committee has reviewed and discussed with management the Compensation Discussion and Analysis that begins on page </w:t>
      </w:r>
      <w:hyperlink w:anchor="tCDA">
        <w:r>
          <w:rPr>
            <w:rStyle w:val="InternetLink"/>
          </w:rPr>
          <w:t>27</w:t>
        </w:r>
      </w:hyperlink>
      <w:r>
        <w:rPr>
          <w:rFonts w:ascii="Times New Roman;Times;serif" w:hAnsi="Times New Roman;Times;serif"/>
          <w:color w:val="000000"/>
          <w:sz w:val="19"/>
        </w:rPr>
        <w:t xml:space="preserve">. Based on the Committee’s review and the discussions with management, the Committee recommended to the Board that the Compensation Discussion and Analysis be included in this Proxy Statement. </w:t>
      </w:r>
    </w:p>
    <w:p>
      <w:pPr>
        <w:pStyle w:val="TextBody"/>
        <w:bidi w:val="0"/>
        <w:spacing w:before="220" w:after="283"/>
        <w:ind w:left="560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COMPENSATION AND HUMAN CAPITAL COMMITTEE </w:t>
      </w:r>
    </w:p>
    <w:p>
      <w:pPr>
        <w:pStyle w:val="TextBody"/>
        <w:bidi w:val="0"/>
        <w:spacing w:before="0" w:after="283"/>
        <w:ind w:left="560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 xml:space="preserve">Gregory A. Trojan, Chair </w:t>
      </w:r>
    </w:p>
    <w:p>
      <w:pPr>
        <w:pStyle w:val="TextBody"/>
        <w:bidi w:val="0"/>
        <w:spacing w:before="0" w:after="283"/>
        <w:ind w:left="560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 xml:space="preserve">Donald E. Frieson </w:t>
      </w:r>
    </w:p>
    <w:p>
      <w:pPr>
        <w:pStyle w:val="TextBody"/>
        <w:bidi w:val="0"/>
        <w:spacing w:before="0" w:after="283"/>
        <w:ind w:left="560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 xml:space="preserve">Allison M. Wing </w:t>
      </w:r>
    </w:p>
    <w:p>
      <w:pPr>
        <w:pStyle w:val="TextBody"/>
        <w:bidi w:val="0"/>
        <w:spacing w:before="180" w:after="283"/>
        <w:ind w:left="0" w:right="0" w:firstLine="400"/>
        <w:jc w:val="left"/>
        <w:rPr>
          <w:rFonts w:ascii="Times New Roman;Times;serif" w:hAnsi="Times New Roman;Times;serif"/>
          <w:i/>
          <w:color w:val="000000"/>
          <w:sz w:val="19"/>
        </w:rPr>
      </w:pPr>
      <w:r>
        <w:rPr>
          <w:rFonts w:ascii="Times New Roman;Times;serif" w:hAnsi="Times New Roman;Times;serif"/>
          <w:i/>
          <w:color w:val="000000"/>
          <w:sz w:val="19"/>
        </w:rPr>
        <w:t>Notwithstanding anything to the contrary set forth in any of the Company’s previous or future filings under the Securities Act, or the Exchange Act, that might incorporate by reference this Proxy Statement or future filings made by the Company under those statutes, the Compensation Committee Report is not deemed filed with the SEC and shall not be deemed incorporated by reference into any of those prior filings or into any future filings made by the Company under those statutes.</w:t>
      </w:r>
      <w:r>
        <w:rPr>
          <w:rFonts w:ascii="Times New Roman;Times;serif" w:hAnsi="Times New Roman;Times;serif"/>
          <w:i/>
          <w:caps w:val="false"/>
          <w:smallCaps w:val="false"/>
          <w:color w:val="000000"/>
          <w:sz w:val="19"/>
        </w:rPr>
        <w:t xml:space="preserve"> </w:t>
      </w:r>
    </w:p>
    <w:p>
      <w:pPr>
        <w:pStyle w:val="TextBody"/>
        <w:bidi w:val="0"/>
        <w:spacing w:before="280" w:after="283"/>
        <w:jc w:val="center"/>
        <w:rPr>
          <w:rFonts w:ascii="Times New Roman;Times;serif" w:hAnsi="Times New Roman;Times;serif"/>
          <w:b/>
          <w:color w:val="000000"/>
          <w:sz w:val="24"/>
          <w:u w:val="single"/>
        </w:rPr>
      </w:pPr>
      <w:bookmarkStart w:id="104" w:name="tCCI"/>
      <w:bookmarkEnd w:id="104"/>
      <w:r>
        <w:rPr>
          <w:rFonts w:ascii="Times New Roman;Times;serif" w:hAnsi="Times New Roman;Times;serif"/>
          <w:b/>
          <w:color w:val="000000"/>
          <w:sz w:val="24"/>
          <w:u w:val="single"/>
        </w:rPr>
        <w:t xml:space="preserve">COMPENSATION COMMITTEE INTERLOCKS AND INSIDER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u w:val="single"/>
        </w:rPr>
        <w:t>PARTICIPATION IN COMPENSATION DECISIONS</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members of the C/HC Committee are Mr. Trojan, Mr. Frieson, and Ms. Wing, none of whom has ever been an officer or employee of the Company or any of its subsidiaries or had any relationship requiring disclosure by the Company under Item 404 of Regulation S-K. During the 2026 fiscal year, there were no executive officer-director interlocks where an executive officer of the Company served on the compensation committee or board of another corporation that had an executive officer serving on the Company’s Board or C/HC Committee. </w:t>
      </w:r>
    </w:p>
    <w:p>
      <w:pPr>
        <w:pStyle w:val="TextBody"/>
        <w:bidi w:val="0"/>
        <w:spacing w:before="280" w:after="283"/>
        <w:jc w:val="center"/>
        <w:rPr>
          <w:rFonts w:ascii="Times New Roman;Times;serif" w:hAnsi="Times New Roman;Times;serif"/>
          <w:b/>
          <w:color w:val="000000"/>
          <w:sz w:val="24"/>
        </w:rPr>
      </w:pPr>
      <w:bookmarkStart w:id="105" w:name="tCPM"/>
      <w:bookmarkEnd w:id="105"/>
      <w:r>
        <w:rPr>
          <w:rFonts w:ascii="Times New Roman;Times;serif" w:hAnsi="Times New Roman;Times;serif"/>
          <w:b/>
          <w:color w:val="000000"/>
          <w:sz w:val="24"/>
          <w:u w:val="single"/>
        </w:rPr>
        <w:t>COMPENSATION PROGRAMS AND RISK MANAGEMENT</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C/HC Committee has considered whether any of its compensation programs and policies are reasonably likely to have a material adverse effect on the Company. The Company’s compensation programs and policies mitigate risk by combining performance-based, long-term compensation elements with payouts that are highly correlated to the value delivered to shareholders. The combination of performance measures for annual incentive payments and the equity compensation programs, maximum potential incentive payments, multi-year vesting schedules for RSUs and PSUs as well as the performance goals for PSUs, encourage employees to maintain both a short- and a long-term view with respect to Company performance. For these reasons, the C/HC Committee has determined that its compensation programs and policies are not reasonably likely to have a material adverse effect on the Company.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9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6" descr=""/>
                          <pic:cNvPicPr>
                            <a:picLocks noChangeAspect="1" noChangeArrowheads="1"/>
                          </pic:cNvPicPr>
                        </pic:nvPicPr>
                        <pic:blipFill>
                          <a:blip r:embed="rId97"/>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6" w:name="ny20072699x1_def14a_110-comp_pg1"/>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7" w:name="tEC"/>
      <w:bookmarkEnd w:id="107"/>
      <w:r>
        <w:rPr>
          <w:rFonts w:ascii="Times New Roman;Times;serif" w:hAnsi="Times New Roman;Times;serif"/>
          <w:b/>
          <w:color w:val="000000"/>
          <w:sz w:val="20"/>
          <w:u w:val="single"/>
        </w:rPr>
        <w:t>EXECUTIVE COMPENSATION</w:t>
      </w:r>
      <w:r>
        <w:rPr>
          <w:rFonts w:ascii="Times New Roman;Times;serif" w:hAnsi="Times New Roman;Times;serif"/>
          <w:b/>
          <w:color w:val="000000"/>
          <w:sz w:val="20"/>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table below summarizes the total compensation paid or earned by our CEO, CFO and each of our three other most highly compensated executive officers (our “named executive officers” or “NEOs”), for services rendered during the 2026 fiscal year: </w:t>
      </w:r>
    </w:p>
    <w:p>
      <w:pPr>
        <w:pStyle w:val="TextBody"/>
        <w:bidi w:val="0"/>
        <w:spacing w:before="290" w:after="283"/>
        <w:jc w:val="center"/>
        <w:rPr>
          <w:rFonts w:ascii="Times New Roman;Times;serif" w:hAnsi="Times New Roman;Times;serif"/>
          <w:b/>
          <w:color w:val="000000"/>
          <w:sz w:val="20"/>
        </w:rPr>
      </w:pPr>
      <w:bookmarkStart w:id="108" w:name="tSCT"/>
      <w:bookmarkEnd w:id="108"/>
      <w:r>
        <w:rPr>
          <w:rFonts w:ascii="Times New Roman;Times;serif" w:hAnsi="Times New Roman;Times;serif"/>
          <w:b/>
          <w:color w:val="000000"/>
          <w:sz w:val="20"/>
          <w:u w:val="single"/>
        </w:rPr>
        <w:t>Summary Compensation Table</w:t>
      </w:r>
      <w:r>
        <w:rPr>
          <w:rFonts w:ascii="Times New Roman;Times;serif" w:hAnsi="Times New Roman;Times;serif"/>
          <w:b/>
          <w:color w:val="000000"/>
          <w:sz w:val="20"/>
        </w:rPr>
        <w:t xml:space="preserve"> </w:t>
      </w:r>
    </w:p>
    <w:tbl>
      <w:tblPr>
        <w:tblW w:w="10175" w:type="dxa"/>
        <w:jc w:val="left"/>
        <w:tblInd w:w="0" w:type="dxa"/>
        <w:tblLayout w:type="fixed"/>
        <w:tblCellMar>
          <w:top w:w="0" w:type="dxa"/>
          <w:left w:w="0" w:type="dxa"/>
          <w:bottom w:w="0" w:type="dxa"/>
          <w:right w:w="0" w:type="dxa"/>
        </w:tblCellMar>
      </w:tblPr>
      <w:tblGrid>
        <w:gridCol w:w="2360"/>
        <w:gridCol w:w="170"/>
        <w:gridCol w:w="170"/>
        <w:gridCol w:w="515"/>
        <w:gridCol w:w="170"/>
        <w:gridCol w:w="170"/>
        <w:gridCol w:w="860"/>
        <w:gridCol w:w="170"/>
        <w:gridCol w:w="170"/>
        <w:gridCol w:w="860"/>
        <w:gridCol w:w="170"/>
        <w:gridCol w:w="170"/>
        <w:gridCol w:w="1250"/>
        <w:gridCol w:w="170"/>
        <w:gridCol w:w="170"/>
        <w:gridCol w:w="1250"/>
        <w:gridCol w:w="170"/>
        <w:gridCol w:w="170"/>
        <w:gridCol w:w="1040"/>
      </w:tblGrid>
      <w:tr>
        <w:trPr/>
        <w:tc>
          <w:tcPr>
            <w:tcW w:w="23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r>
        <w:trPr/>
        <w:tc>
          <w:tcPr>
            <w:tcW w:w="2360" w:type="dxa"/>
            <w:tcBorders/>
            <w:vAlign w:val="center"/>
          </w:tcPr>
          <w:p>
            <w:pPr>
              <w:pStyle w:val="TableContents"/>
              <w:bidi w:val="0"/>
              <w:spacing w:before="0" w:after="283"/>
              <w:ind w:left="0" w:right="0" w:hanging="0"/>
              <w:jc w:val="left"/>
              <w:rPr>
                <w:rFonts w:ascii="Times New Roman;Times;serif" w:hAnsi="Times New Roman;Times;serif"/>
                <w:b/>
                <w:color w:val="000000"/>
                <w:sz w:val="16"/>
                <w:bdr w:val="single" w:sz="8" w:space="2" w:color="000000"/>
              </w:rPr>
            </w:pPr>
            <w:r>
              <w:rPr>
                <w:rFonts w:ascii="Times New Roman;Times;serif" w:hAnsi="Times New Roman;Times;serif"/>
                <w:b/>
                <w:color w:val="000000"/>
                <w:sz w:val="16"/>
                <w:bdr w:val="single" w:sz="8" w:space="2" w:color="000000"/>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236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Darren M. Rebelez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President and Chief Executive</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8"/>
              </w:rPr>
            </w:pPr>
            <w:r>
              <w:rPr>
                <w:rFonts w:ascii="Times New Roman;Times;serif" w:hAnsi="Times New Roman;Times;serif"/>
                <w:color w:val="000000"/>
                <w:sz w:val="18"/>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$9,647,958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8"/>
              </w:rPr>
            </w:pPr>
            <w:r>
              <w:rPr>
                <w:rFonts w:ascii="Times New Roman;Times;serif" w:hAnsi="Times New Roman;Times;serif"/>
                <w:color w:val="000000"/>
                <w:sz w:val="18"/>
              </w:rPr>
              <w:t>$3,260,250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18"/>
              </w:rPr>
            </w:pPr>
            <w:r>
              <w:rPr>
                <w:rFonts w:ascii="Times New Roman;Times;serif" w:hAnsi="Times New Roman;Times;serif"/>
                <w:color w:val="000000"/>
                <w:sz w:val="18"/>
              </w:rPr>
              <w:t>$483,060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$14,741,268 </w:t>
            </w:r>
          </w:p>
        </w:tc>
      </w:tr>
      <w:tr>
        <w:trPr/>
        <w:tc>
          <w:tcPr>
            <w:tcW w:w="23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8"/>
              </w:rPr>
            </w:pPr>
            <w:r>
              <w:rPr>
                <w:rFonts w:ascii="Times New Roman;Times;serif" w:hAnsi="Times New Roman;Times;serif"/>
                <w:color w:val="000000"/>
                <w:sz w:val="18"/>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$7,347,609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8"/>
              </w:rPr>
            </w:pPr>
            <w:r>
              <w:rPr>
                <w:rFonts w:ascii="Times New Roman;Times;serif" w:hAnsi="Times New Roman;Times;serif"/>
                <w:color w:val="000000"/>
                <w:sz w:val="18"/>
              </w:rPr>
              <w:t>$1,962,000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18"/>
              </w:rPr>
            </w:pPr>
            <w:r>
              <w:rPr>
                <w:rFonts w:ascii="Times New Roman;Times;serif" w:hAnsi="Times New Roman;Times;serif"/>
                <w:color w:val="000000"/>
                <w:sz w:val="18"/>
              </w:rPr>
              <w:t>$170,581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$10,680,190 </w:t>
            </w:r>
          </w:p>
        </w:tc>
      </w:tr>
      <w:tr>
        <w:trPr/>
        <w:tc>
          <w:tcPr>
            <w:tcW w:w="23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$6,542,924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8"/>
              </w:rPr>
            </w:pPr>
            <w:r>
              <w:rPr>
                <w:rFonts w:ascii="Times New Roman;Times;serif" w:hAnsi="Times New Roman;Times;serif"/>
                <w:color w:val="000000"/>
                <w:sz w:val="18"/>
              </w:rPr>
              <w:t>$2,826,000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57,332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$10,626,256 </w:t>
            </w:r>
          </w:p>
        </w:tc>
      </w:tr>
      <w:tr>
        <w:trPr/>
        <w:tc>
          <w:tcPr>
            <w:tcW w:w="23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r>
      <w:tr>
        <w:trPr/>
        <w:tc>
          <w:tcPr>
            <w:tcW w:w="236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Stephen P. Bramlage, Jr.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Chief Financial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8"/>
              </w:rPr>
            </w:pPr>
            <w:r>
              <w:rPr>
                <w:rFonts w:ascii="Times New Roman;Times;serif" w:hAnsi="Times New Roman;Times;serif"/>
                <w:color w:val="000000"/>
                <w:sz w:val="18"/>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$2,736,666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8"/>
              </w:rPr>
            </w:pPr>
            <w:r>
              <w:rPr>
                <w:rFonts w:ascii="Times New Roman;Times;serif" w:hAnsi="Times New Roman;Times;serif"/>
                <w:color w:val="000000"/>
                <w:sz w:val="18"/>
              </w:rPr>
              <w:t>$1,304,100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98,543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4,949,310 </w:t>
            </w:r>
          </w:p>
        </w:tc>
      </w:tr>
      <w:tr>
        <w:trPr/>
        <w:tc>
          <w:tcPr>
            <w:tcW w:w="23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8"/>
              </w:rPr>
            </w:pPr>
            <w:r>
              <w:rPr>
                <w:rFonts w:ascii="Times New Roman;Times;serif" w:hAnsi="Times New Roman;Times;serif"/>
                <w:color w:val="000000"/>
                <w:sz w:val="18"/>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$1,906,171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850,200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115,168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3,651,539 </w:t>
            </w:r>
          </w:p>
        </w:tc>
      </w:tr>
      <w:tr>
        <w:trPr/>
        <w:tc>
          <w:tcPr>
            <w:tcW w:w="23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$1,829,796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8"/>
              </w:rPr>
            </w:pPr>
            <w:r>
              <w:rPr>
                <w:rFonts w:ascii="Times New Roman;Times;serif" w:hAnsi="Times New Roman;Times;serif"/>
                <w:color w:val="000000"/>
                <w:sz w:val="18"/>
              </w:rPr>
              <w:t>$1,177,500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75,319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3,832,615 </w:t>
            </w:r>
          </w:p>
        </w:tc>
      </w:tr>
      <w:tr>
        <w:trPr/>
        <w:tc>
          <w:tcPr>
            <w:tcW w:w="23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2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58"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2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color w:val="000000"/>
              </w:rPr>
            </w:pPr>
            <w:r>
              <w:rPr>
                <w:color w:val="000000"/>
              </w:rPr>
              <w:t> </w:t>
            </w:r>
          </w:p>
        </w:tc>
      </w:tr>
      <w:tr>
        <w:trPr/>
        <w:tc>
          <w:tcPr>
            <w:tcW w:w="236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Ena Williams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Chief Operating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8"/>
              </w:rPr>
            </w:pPr>
            <w:r>
              <w:rPr>
                <w:rFonts w:ascii="Times New Roman;Times;serif" w:hAnsi="Times New Roman;Times;serif"/>
                <w:color w:val="000000"/>
                <w:sz w:val="18"/>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$2,946,649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8"/>
              </w:rPr>
            </w:pPr>
            <w:r>
              <w:rPr>
                <w:rFonts w:ascii="Times New Roman;Times;serif" w:hAnsi="Times New Roman;Times;serif"/>
                <w:color w:val="000000"/>
                <w:sz w:val="18"/>
              </w:rPr>
              <w:t>$1,304,100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77,441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5,138,191 </w:t>
            </w:r>
          </w:p>
        </w:tc>
      </w:tr>
      <w:tr>
        <w:trPr/>
        <w:tc>
          <w:tcPr>
            <w:tcW w:w="23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8"/>
              </w:rPr>
            </w:pPr>
            <w:r>
              <w:rPr>
                <w:rFonts w:ascii="Times New Roman;Times;serif" w:hAnsi="Times New Roman;Times;serif"/>
                <w:color w:val="000000"/>
                <w:sz w:val="18"/>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$2,096,625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850,200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90,044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3,816,869 </w:t>
            </w:r>
          </w:p>
        </w:tc>
      </w:tr>
      <w:tr>
        <w:trPr/>
        <w:tc>
          <w:tcPr>
            <w:tcW w:w="23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$1,829,796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8"/>
              </w:rPr>
            </w:pPr>
            <w:r>
              <w:rPr>
                <w:rFonts w:ascii="Times New Roman;Times;serif" w:hAnsi="Times New Roman;Times;serif"/>
                <w:color w:val="000000"/>
                <w:sz w:val="18"/>
              </w:rPr>
              <w:t>$1,177,500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63,175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3,820,471</w:t>
            </w:r>
          </w:p>
        </w:tc>
      </w:tr>
      <w:tr>
        <w:trPr/>
        <w:tc>
          <w:tcPr>
            <w:tcW w:w="23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2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58"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2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color w:val="000000"/>
              </w:rPr>
            </w:pPr>
            <w:r>
              <w:rPr>
                <w:color w:val="000000"/>
              </w:rPr>
              <w:t> </w:t>
            </w:r>
          </w:p>
        </w:tc>
      </w:tr>
      <w:tr>
        <w:trPr/>
        <w:tc>
          <w:tcPr>
            <w:tcW w:w="236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Thomas P. Brennan, Jr.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Chief Merchandising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8"/>
              </w:rPr>
            </w:pPr>
            <w:r>
              <w:rPr>
                <w:rFonts w:ascii="Times New Roman;Times;serif" w:hAnsi="Times New Roman;Times;serif"/>
                <w:color w:val="000000"/>
                <w:sz w:val="18"/>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$1,772,529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748,650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89,372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3,230,551 </w:t>
            </w:r>
          </w:p>
        </w:tc>
      </w:tr>
      <w:tr>
        <w:trPr/>
        <w:tc>
          <w:tcPr>
            <w:tcW w:w="23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8"/>
              </w:rPr>
            </w:pPr>
            <w:r>
              <w:rPr>
                <w:rFonts w:ascii="Times New Roman;Times;serif" w:hAnsi="Times New Roman;Times;serif"/>
                <w:color w:val="000000"/>
                <w:sz w:val="18"/>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595,000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$1,163,596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486,413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18"/>
              </w:rPr>
            </w:pPr>
            <w:r>
              <w:rPr>
                <w:rFonts w:ascii="Times New Roman;Times;serif" w:hAnsi="Times New Roman;Times;serif"/>
                <w:color w:val="000000"/>
                <w:sz w:val="18"/>
              </w:rPr>
              <w:t>$100,790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2,345,799 </w:t>
            </w:r>
          </w:p>
        </w:tc>
      </w:tr>
      <w:tr>
        <w:trPr/>
        <w:tc>
          <w:tcPr>
            <w:tcW w:w="23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570,000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1,112,680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671,175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73,030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2,426,885 </w:t>
            </w:r>
          </w:p>
        </w:tc>
      </w:tr>
      <w:tr>
        <w:trPr/>
        <w:tc>
          <w:tcPr>
            <w:tcW w:w="23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2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58"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2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color w:val="000000"/>
              </w:rPr>
            </w:pPr>
            <w:r>
              <w:rPr>
                <w:color w:val="000000"/>
              </w:rPr>
              <w:t> </w:t>
            </w:r>
          </w:p>
        </w:tc>
      </w:tr>
      <w:tr>
        <w:trPr/>
        <w:tc>
          <w:tcPr>
            <w:tcW w:w="236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Chad M. Frazell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Chief Human Resources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8"/>
              </w:rPr>
            </w:pPr>
            <w:r>
              <w:rPr>
                <w:rFonts w:ascii="Times New Roman;Times;serif" w:hAnsi="Times New Roman;Times;serif"/>
                <w:color w:val="000000"/>
                <w:sz w:val="18"/>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$1,657,574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700,350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80,255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3,018,179 </w:t>
            </w:r>
          </w:p>
        </w:tc>
      </w:tr>
      <w:tr>
        <w:trPr/>
        <w:tc>
          <w:tcPr>
            <w:tcW w:w="23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8"/>
              </w:rPr>
            </w:pPr>
            <w:r>
              <w:rPr>
                <w:rFonts w:ascii="Times New Roman;Times;serif" w:hAnsi="Times New Roman;Times;serif"/>
                <w:color w:val="000000"/>
                <w:sz w:val="18"/>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958,467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457,800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95,677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2,071,944 </w:t>
            </w:r>
          </w:p>
        </w:tc>
      </w:tr>
      <w:tr>
        <w:trPr/>
        <w:tc>
          <w:tcPr>
            <w:tcW w:w="23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545,000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930,806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641,738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68,789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2,186,333</w:t>
            </w:r>
          </w:p>
        </w:tc>
      </w:tr>
      <w:tr>
        <w:trPr/>
        <w:tc>
          <w:tcPr>
            <w:tcW w:w="23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2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58"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2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color w:val="000000"/>
              </w:rPr>
            </w:pPr>
            <w:r>
              <w:rPr>
                <w:color w:val="000000"/>
              </w:rPr>
              <w:t> </w:t>
            </w:r>
          </w:p>
        </w:tc>
      </w:tr>
      <w:tr>
        <w:trPr/>
        <w:tc>
          <w:tcPr>
            <w:tcW w:w="23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in the Stock Awards column represent the aggregate grant date fair value of RSUs and PSUs awarded to the applicable NEO, as computed in accordance with ASC 718. For awards subject to market-based performance conditions, such as relative total shareholder return, fair value reflects the impact of such conditions on expected payout as of the grant date, excluding the effect of estimated forfeitures, as more fully described in Footnotes 1 and 4 to the Company’s consolidated financial statements included in its Form 10-K for the 2026 fiscal year. The actual value, if any, realized by a NEO from PSUs will depend on the actual performance level achieved by the Company for the applicable performance period.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For the 2024-2026 fiscal years, the LTIP awards include time-based RSUs and PSUs subject to ROIC and EBITDA metrics, in each case representing 25%, 37.5% and 37.5%, respectively, of the total value of each NEO’s LTIP awards. The PSUs awarded for fiscal years 2024-2026 vest in full on June 15, 2026-2028, respectively, and the RSUs for 2024-2026 vested, or vest, as applicable, in equal installments on the first three anniversaries of their respective grant dates, generally subject to continued employment and, in the case of PSUs, to the Company’s achievement of applicable performance goals. </w:t>
      </w:r>
    </w:p>
    <w:p>
      <w:pPr>
        <w:pStyle w:val="TextBody"/>
        <w:bidi w:val="0"/>
        <w:spacing w:before="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grant date values of the PSUs granted in each of the 2024-2026 fiscal years, based on maximum achievement of performance conditions, are detailed below: </w:t>
      </w:r>
    </w:p>
    <w:tbl>
      <w:tblPr>
        <w:tblW w:w="8150" w:type="dxa"/>
        <w:jc w:val="left"/>
        <w:tblInd w:w="0" w:type="dxa"/>
        <w:tblLayout w:type="fixed"/>
        <w:tblCellMar>
          <w:top w:w="0" w:type="dxa"/>
          <w:left w:w="0" w:type="dxa"/>
          <w:bottom w:w="0" w:type="dxa"/>
          <w:right w:w="0" w:type="dxa"/>
        </w:tblCellMar>
      </w:tblPr>
      <w:tblGrid>
        <w:gridCol w:w="1805"/>
        <w:gridCol w:w="170"/>
        <w:gridCol w:w="170"/>
        <w:gridCol w:w="1745"/>
        <w:gridCol w:w="170"/>
        <w:gridCol w:w="170"/>
        <w:gridCol w:w="1745"/>
        <w:gridCol w:w="170"/>
        <w:gridCol w:w="170"/>
        <w:gridCol w:w="1835"/>
      </w:tblGrid>
      <w:tr>
        <w:trPr/>
        <w:tc>
          <w:tcPr>
            <w:tcW w:w="1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r>
      <w:tr>
        <w:trPr/>
        <w:tc>
          <w:tcPr>
            <w:tcW w:w="18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 All 2024 PSUs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 All 2025 PSUs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All 2026 PSUs </w:t>
            </w:r>
          </w:p>
        </w:tc>
      </w:tr>
      <w:tr>
        <w:trPr/>
        <w:tc>
          <w:tcPr>
            <w:tcW w:w="1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Darren M. Rebelez</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45" w:type="dxa"/>
            <w:tcBorders/>
            <w:shd w:fill="CCEEFF" w:val="clear"/>
            <w:vAlign w:val="center"/>
          </w:tcPr>
          <w:p>
            <w:pPr>
              <w:pStyle w:val="TableContents"/>
              <w:bidi w:val="0"/>
              <w:spacing w:before="0" w:after="283"/>
              <w:ind w:left="446" w:right="0" w:hanging="0"/>
              <w:jc w:val="left"/>
              <w:rPr>
                <w:rFonts w:ascii="Times New Roman;Times;serif" w:hAnsi="Times New Roman;Times;serif"/>
                <w:color w:val="000000"/>
                <w:sz w:val="16"/>
              </w:rPr>
            </w:pPr>
            <w:r>
              <w:rPr>
                <w:rFonts w:ascii="Times New Roman;Times;serif" w:hAnsi="Times New Roman;Times;serif"/>
                <w:color w:val="000000"/>
                <w:sz w:val="16"/>
              </w:rPr>
              <w:t>$9,814,274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45" w:type="dxa"/>
            <w:tcBorders/>
            <w:shd w:fill="CCEEFF" w:val="clear"/>
            <w:vAlign w:val="center"/>
          </w:tcPr>
          <w:p>
            <w:pPr>
              <w:pStyle w:val="TableContents"/>
              <w:bidi w:val="0"/>
              <w:spacing w:before="0" w:after="283"/>
              <w:ind w:left="409" w:right="0" w:hanging="0"/>
              <w:jc w:val="left"/>
              <w:rPr>
                <w:rFonts w:ascii="Times New Roman;Times;serif" w:hAnsi="Times New Roman;Times;serif"/>
                <w:color w:val="000000"/>
                <w:sz w:val="16"/>
              </w:rPr>
            </w:pPr>
            <w:r>
              <w:rPr>
                <w:rFonts w:ascii="Times New Roman;Times;serif" w:hAnsi="Times New Roman;Times;serif"/>
                <w:color w:val="000000"/>
                <w:sz w:val="16"/>
              </w:rPr>
              <w:t>$11,021,086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283"/>
              <w:ind w:left="4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$13,934,052 </w:t>
            </w:r>
          </w:p>
        </w:tc>
      </w:tr>
      <w:tr>
        <w:trPr/>
        <w:tc>
          <w:tcPr>
            <w:tcW w:w="180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Stephen P. Bramlage, Jr.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46" w:right="0" w:hanging="0"/>
              <w:jc w:val="left"/>
              <w:rPr>
                <w:rFonts w:ascii="Times New Roman;Times;serif" w:hAnsi="Times New Roman;Times;serif"/>
                <w:color w:val="000000"/>
                <w:sz w:val="16"/>
              </w:rPr>
            </w:pPr>
            <w:r>
              <w:rPr>
                <w:rFonts w:ascii="Times New Roman;Times;serif" w:hAnsi="Times New Roman;Times;serif"/>
                <w:color w:val="000000"/>
                <w:sz w:val="16"/>
              </w:rPr>
              <w:t>$2,744,806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09"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2,859,420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283"/>
              <w:ind w:left="40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3,969,702 </w:t>
            </w:r>
          </w:p>
        </w:tc>
      </w:tr>
      <w:tr>
        <w:trPr/>
        <w:tc>
          <w:tcPr>
            <w:tcW w:w="1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Ena Williams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45" w:type="dxa"/>
            <w:tcBorders/>
            <w:shd w:fill="CCEEFF" w:val="clear"/>
            <w:vAlign w:val="center"/>
          </w:tcPr>
          <w:p>
            <w:pPr>
              <w:pStyle w:val="TableContents"/>
              <w:bidi w:val="0"/>
              <w:spacing w:before="0" w:after="283"/>
              <w:ind w:left="446" w:right="0" w:hanging="0"/>
              <w:jc w:val="left"/>
              <w:rPr>
                <w:rFonts w:ascii="Times New Roman;Times;serif" w:hAnsi="Times New Roman;Times;serif"/>
                <w:color w:val="000000"/>
                <w:sz w:val="16"/>
              </w:rPr>
            </w:pPr>
            <w:r>
              <w:rPr>
                <w:rFonts w:ascii="Times New Roman;Times;serif" w:hAnsi="Times New Roman;Times;serif"/>
                <w:color w:val="000000"/>
                <w:sz w:val="16"/>
              </w:rPr>
              <w:t>$2,744,806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45" w:type="dxa"/>
            <w:tcBorders/>
            <w:shd w:fill="CCEEFF" w:val="clear"/>
            <w:vAlign w:val="center"/>
          </w:tcPr>
          <w:p>
            <w:pPr>
              <w:pStyle w:val="TableContents"/>
              <w:bidi w:val="0"/>
              <w:spacing w:before="0" w:after="283"/>
              <w:ind w:left="409"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3,145,101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283"/>
              <w:ind w:left="40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4,274,512 </w:t>
            </w:r>
          </w:p>
        </w:tc>
      </w:tr>
      <w:tr>
        <w:trPr/>
        <w:tc>
          <w:tcPr>
            <w:tcW w:w="180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Thomas P. Brennan, Jr.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46" w:right="0" w:hanging="0"/>
              <w:jc w:val="left"/>
              <w:rPr>
                <w:rFonts w:ascii="Times New Roman;Times;serif" w:hAnsi="Times New Roman;Times;serif"/>
                <w:color w:val="000000"/>
                <w:sz w:val="16"/>
              </w:rPr>
            </w:pPr>
            <w:r>
              <w:rPr>
                <w:rFonts w:ascii="Times New Roman;Times;serif" w:hAnsi="Times New Roman;Times;serif"/>
                <w:color w:val="000000"/>
                <w:sz w:val="16"/>
              </w:rPr>
              <w:t>$1,668,908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09"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1,745,394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283"/>
              <w:ind w:left="40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2,571,162 </w:t>
            </w:r>
          </w:p>
        </w:tc>
      </w:tr>
      <w:tr>
        <w:trPr/>
        <w:tc>
          <w:tcPr>
            <w:tcW w:w="1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Chad M. Frazell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45" w:type="dxa"/>
            <w:tcBorders/>
            <w:shd w:fill="CCEEFF" w:val="clear"/>
            <w:vAlign w:val="center"/>
          </w:tcPr>
          <w:p>
            <w:pPr>
              <w:pStyle w:val="TableContents"/>
              <w:bidi w:val="0"/>
              <w:spacing w:before="0" w:after="283"/>
              <w:ind w:left="446" w:right="0" w:hanging="0"/>
              <w:jc w:val="left"/>
              <w:rPr>
                <w:rFonts w:ascii="Times New Roman;Times;serif" w:hAnsi="Times New Roman;Times;serif"/>
                <w:color w:val="000000"/>
                <w:sz w:val="16"/>
              </w:rPr>
            </w:pPr>
            <w:r>
              <w:rPr>
                <w:rFonts w:ascii="Times New Roman;Times;serif" w:hAnsi="Times New Roman;Times;serif"/>
                <w:color w:val="000000"/>
                <w:sz w:val="16"/>
              </w:rPr>
              <w:t>$1,396,322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45" w:type="dxa"/>
            <w:tcBorders/>
            <w:shd w:fill="CCEEFF" w:val="clear"/>
            <w:vAlign w:val="center"/>
          </w:tcPr>
          <w:p>
            <w:pPr>
              <w:pStyle w:val="TableContents"/>
              <w:bidi w:val="0"/>
              <w:spacing w:before="0" w:after="283"/>
              <w:ind w:left="409"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1,437,537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283"/>
              <w:ind w:left="40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2,404,413</w:t>
            </w:r>
          </w:p>
        </w:tc>
      </w:tr>
      <w:tr>
        <w:trPr/>
        <w:tc>
          <w:tcPr>
            <w:tcW w:w="18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0"/>
              <w:jc w:val="left"/>
              <w:rPr/>
            </w:pPr>
            <w:r>
              <w:rPr/>
              <w:t>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Additionally, the 2024-2026 PSUs actually awarded will be subject to a positive or negative adjustment based upon a comparison of the Company’s TSR relative to the TSR Peer Group (i.e., S&amp;P 500) for the respective performance period (i.e., 2024-2026 fiscal years for the 2024 awards, 2025-2027 fiscal years for the 2025 awards, and 2026-2028 for the 2026 awards). As discussed further in the Long-Term Incentive Compensation section of the CD&amp;A, if the Company ranks in the top quartile of the group, the number of PSUs actually awarded will be increased by 25% (which, based on the maximum level, may result in a payment of up to 250% of target for the PSUs) (the “TSR Modifier”). With the application of the TSR Modifier, the total maximum grant date value of all 2024-2026 fiscal year PSUs is as follows: Mr. Rebelez, $12,267,842 (2024), $13,776,357 (2025), and $17,417,565 (2026); Mr. Bramlage, $3,431,008 (2024), $3,574,275 (2025), and $4,962,128 (2026); Ms. Williams, $3,431,008 (2024), $3,931,376 (2025), and $5,343,140 (2026); Mr. Brennan, $2,086,134 (2024), $2,181,742 (2025), and $3,213,953 (2026); Mr. Frazell, $1,745,402 (2024), $1,796,921 (2025), and $3,005,516 (2026).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See the Long-Term Incentive Compensation Program section of the CD&amp;A for information regarding the performance criteria for the 2026 PSUs and their relative weight.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9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7" descr=""/>
                          <pic:cNvPicPr>
                            <a:picLocks noChangeAspect="1" noChangeArrowheads="1"/>
                          </pic:cNvPicPr>
                        </pic:nvPicPr>
                        <pic:blipFill>
                          <a:blip r:embed="rId98"/>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9" w:name="ny20072699x1_def14a_110-comp_pg2"/>
        <w:bookmarkEnd w:id="10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set forth in the Non-Equity Incentive Plan Compensation column represent cash incentives paid to each NEO for the applicable fiscal year under the AIP. See the Annual Incentive Compensation Program section of the CD&amp;A for additional information regarding the 2026 AIP. </w:t>
            </w:r>
          </w:p>
        </w:tc>
      </w:tr>
    </w:tbl>
    <w:tbl>
      <w:tblPr>
        <w:tblW w:w="6850" w:type="dxa"/>
        <w:jc w:val="left"/>
        <w:tblInd w:w="0" w:type="dxa"/>
        <w:tblLayout w:type="fixed"/>
        <w:tblCellMar>
          <w:top w:w="0" w:type="dxa"/>
          <w:left w:w="0" w:type="dxa"/>
          <w:bottom w:w="0" w:type="dxa"/>
          <w:right w:w="0" w:type="dxa"/>
        </w:tblCellMar>
      </w:tblPr>
      <w:tblGrid>
        <w:gridCol w:w="260"/>
        <w:gridCol w:w="659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5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comprising All Other Compensation for the 2026 fiscal year are detailed below: </w:t>
            </w:r>
          </w:p>
        </w:tc>
      </w:tr>
    </w:tbl>
    <w:tbl>
      <w:tblPr>
        <w:tblW w:w="6890" w:type="dxa"/>
        <w:jc w:val="left"/>
        <w:tblInd w:w="0" w:type="dxa"/>
        <w:tblLayout w:type="fixed"/>
        <w:tblCellMar>
          <w:top w:w="0" w:type="dxa"/>
          <w:left w:w="0" w:type="dxa"/>
          <w:bottom w:w="0" w:type="dxa"/>
          <w:right w:w="0" w:type="dxa"/>
        </w:tblCellMar>
      </w:tblPr>
      <w:tblGrid>
        <w:gridCol w:w="1760"/>
        <w:gridCol w:w="170"/>
        <w:gridCol w:w="170"/>
        <w:gridCol w:w="995"/>
        <w:gridCol w:w="170"/>
        <w:gridCol w:w="170"/>
        <w:gridCol w:w="1130"/>
        <w:gridCol w:w="170"/>
        <w:gridCol w:w="170"/>
        <w:gridCol w:w="830"/>
        <w:gridCol w:w="170"/>
        <w:gridCol w:w="170"/>
        <w:gridCol w:w="815"/>
      </w:tblGrid>
      <w:tr>
        <w:trPr/>
        <w:tc>
          <w:tcPr>
            <w:tcW w:w="17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176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401(K)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Matching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Contribution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Life Insurance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Perquisites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7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Darren M. Rebelez</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89" w:right="0" w:hanging="0"/>
              <w:jc w:val="left"/>
              <w:rPr>
                <w:rFonts w:ascii="Times New Roman;Times;serif" w:hAnsi="Times New Roman;Times;serif"/>
                <w:color w:val="000000"/>
                <w:sz w:val="16"/>
              </w:rPr>
            </w:pPr>
            <w:r>
              <w:rPr>
                <w:rFonts w:ascii="Times New Roman;Times;serif" w:hAnsi="Times New Roman;Times;serif"/>
                <w:color w:val="000000"/>
                <w:sz w:val="16"/>
              </w:rPr>
              <w:t>$21,000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87" w:right="0" w:hanging="0"/>
              <w:jc w:val="left"/>
              <w:rPr>
                <w:rFonts w:ascii="Times New Roman;Times;serif" w:hAnsi="Times New Roman;Times;serif"/>
                <w:color w:val="000000"/>
                <w:sz w:val="16"/>
              </w:rPr>
            </w:pPr>
            <w:r>
              <w:rPr>
                <w:rFonts w:ascii="Times New Roman;Times;serif" w:hAnsi="Times New Roman;Times;serif"/>
                <w:color w:val="000000"/>
                <w:sz w:val="16"/>
              </w:rPr>
              <w:t>$1,999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16"/>
              </w:rPr>
            </w:pPr>
            <w:r>
              <w:rPr>
                <w:rFonts w:ascii="Times New Roman;Times;serif" w:hAnsi="Times New Roman;Times;serif"/>
                <w:color w:val="000000"/>
                <w:sz w:val="16"/>
              </w:rPr>
              <w:t>$460,061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$483,060 </w:t>
            </w:r>
          </w:p>
        </w:tc>
      </w:tr>
      <w:tr>
        <w:trPr/>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Stephen P. Bramlage, Jr.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9" w:right="0" w:hanging="0"/>
              <w:jc w:val="left"/>
              <w:rPr>
                <w:rFonts w:ascii="Times New Roman;Times;serif" w:hAnsi="Times New Roman;Times;serif"/>
                <w:color w:val="000000"/>
                <w:sz w:val="16"/>
              </w:rPr>
            </w:pPr>
            <w:r>
              <w:rPr>
                <w:rFonts w:ascii="Times New Roman;Times;serif" w:hAnsi="Times New Roman;Times;serif"/>
                <w:color w:val="000000"/>
                <w:sz w:val="16"/>
              </w:rPr>
              <w:t>$21,000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8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7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77,543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98,543 </w:t>
            </w:r>
          </w:p>
        </w:tc>
      </w:tr>
      <w:tr>
        <w:trPr/>
        <w:tc>
          <w:tcPr>
            <w:tcW w:w="17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Ena Williams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89" w:right="0" w:hanging="0"/>
              <w:jc w:val="left"/>
              <w:rPr>
                <w:rFonts w:ascii="Times New Roman;Times;serif" w:hAnsi="Times New Roman;Times;serif"/>
                <w:color w:val="000000"/>
                <w:sz w:val="16"/>
              </w:rPr>
            </w:pPr>
            <w:r>
              <w:rPr>
                <w:rFonts w:ascii="Times New Roman;Times;serif" w:hAnsi="Times New Roman;Times;serif"/>
                <w:color w:val="000000"/>
                <w:sz w:val="16"/>
              </w:rPr>
              <w:t>$21,000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8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56,441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77,441 </w:t>
            </w:r>
          </w:p>
        </w:tc>
      </w:tr>
      <w:tr>
        <w:trPr/>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Thomas P. Brennan, Jr.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9" w:right="0" w:hanging="0"/>
              <w:jc w:val="left"/>
              <w:rPr>
                <w:rFonts w:ascii="Times New Roman;Times;serif" w:hAnsi="Times New Roman;Times;serif"/>
                <w:color w:val="000000"/>
                <w:sz w:val="16"/>
              </w:rPr>
            </w:pPr>
            <w:r>
              <w:rPr>
                <w:rFonts w:ascii="Times New Roman;Times;serif" w:hAnsi="Times New Roman;Times;serif"/>
                <w:color w:val="000000"/>
                <w:sz w:val="16"/>
              </w:rPr>
              <w:t>$21,000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8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7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68,372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89,372 </w:t>
            </w:r>
          </w:p>
        </w:tc>
      </w:tr>
      <w:tr>
        <w:trPr/>
        <w:tc>
          <w:tcPr>
            <w:tcW w:w="17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Chad M. Frazell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89" w:right="0" w:hanging="0"/>
              <w:jc w:val="left"/>
              <w:rPr>
                <w:rFonts w:ascii="Times New Roman;Times;serif" w:hAnsi="Times New Roman;Times;serif"/>
                <w:color w:val="000000"/>
                <w:sz w:val="16"/>
              </w:rPr>
            </w:pPr>
            <w:r>
              <w:rPr>
                <w:rFonts w:ascii="Times New Roman;Times;serif" w:hAnsi="Times New Roman;Times;serif"/>
                <w:color w:val="000000"/>
                <w:sz w:val="16"/>
              </w:rPr>
              <w:t>$21,000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8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59,255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80,255</w:t>
            </w:r>
          </w:p>
        </w:tc>
      </w:tr>
      <w:tr>
        <w:trPr/>
        <w:tc>
          <w:tcPr>
            <w:tcW w:w="17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Perquisites include (i) a personal automobile allowance; (ii) identity theft protection; (iii) executive physicals; (iv) personal executive threat monitoring costs; (v) supplemental disability insurance benefits through December 31, 2025 (discontinued as of January 1, 2026); (vi) for Mr. Bramlage, Ms. Williams, Mr. Brennan and Mr. Frazell, financial planning services; and (vii) for Mr. Rebelez, Ms. Williams, and Mr. Brennan, the aggregate incremental costs of tickets to entertainment events at the Company’s suite at the Casey’s Center in Des Moines, Iowa, used in connection with business development and relationship-building activities; (viii) for Mr. Rebelez, Mr. Bramlage, Ms. Williams, and Mr. Brennan, the aggregate incremental costs of their spouse traveling on Company aircraft to accompany them to, and to participate in, business functions (as calculated below). Except as described below for Mr. Rebelez, no perquisite exceeded the greater of $25,000 or 10% of the total amount of perquisites and personal benefits for each NEO. Mr. Rebelez’s perquisites include </w:t>
      </w:r>
      <w:r>
        <w:rPr>
          <w:rFonts w:ascii="Times New Roman;Times;serif" w:hAnsi="Times New Roman;Times;serif"/>
          <w:b/>
          <w:color w:val="000000"/>
          <w:sz w:val="16"/>
        </w:rPr>
        <w:t>$</w:t>
      </w:r>
      <w:r>
        <w:rPr>
          <w:rFonts w:ascii="Times New Roman;Times;serif" w:hAnsi="Times New Roman;Times;serif"/>
          <w:color w:val="000000"/>
          <w:sz w:val="16"/>
        </w:rPr>
        <w:t xml:space="preserve">365,900 in aggregate incremental costs for personal use of Company aircraft under his employment agreement and $51,525 in aggregate incremental costs for spousal travel on company aircraft. For Company-owned aircraft, aggregate incremental cost includes, for each personal flight, the estimated hourly operating cost of the aircraft (including maintenance repairs) multiplied by the number of flight hours, plus actual fuel costs, airport fees (parking, landing, service, and security), catering, and crew expenses. For hours available to the Company on third-party aircraft, aggregate incremental cost represents the full, invoiced cost and expenses for each flight. NEOs were also provided with group life insurance and group medical coverage that are not included because, with the exception of Mr. Rebelez’s supplemental life insurance under his employment agreement (reflected above), they are provided under broad-based, non-discriminatory benefit plans.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0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8" descr=""/>
                          <pic:cNvPicPr>
                            <a:picLocks noChangeAspect="1" noChangeArrowheads="1"/>
                          </pic:cNvPicPr>
                        </pic:nvPicPr>
                        <pic:blipFill>
                          <a:blip r:embed="rId99"/>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0" w:name="ny20072699x1_def14a_110-comp_pg3"/>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1" w:name="tGP"/>
      <w:bookmarkEnd w:id="111"/>
      <w:r>
        <w:rPr>
          <w:rFonts w:ascii="Times New Roman;Times;serif" w:hAnsi="Times New Roman;Times;serif"/>
          <w:b/>
          <w:color w:val="000000"/>
          <w:sz w:val="20"/>
          <w:u w:val="single"/>
        </w:rPr>
        <w:t>Grants of Plan-Based Awards in Fiscal 2026</w:t>
      </w:r>
      <w:r>
        <w:rPr>
          <w:rFonts w:ascii="Times New Roman;Times;serif" w:hAnsi="Times New Roman;Times;serif"/>
          <w:b/>
          <w:color w:val="000000"/>
          <w:sz w:val="20"/>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following table provides information regarding grants of equity and non-equity incentive awards under Company plans for each NEO during the 2026 fiscal year. </w:t>
      </w:r>
    </w:p>
    <w:tbl>
      <w:tblPr>
        <w:tblW w:w="10940" w:type="dxa"/>
        <w:jc w:val="left"/>
        <w:tblInd w:w="0" w:type="dxa"/>
        <w:tblLayout w:type="fixed"/>
        <w:tblCellMar>
          <w:top w:w="0" w:type="dxa"/>
          <w:left w:w="0" w:type="dxa"/>
          <w:bottom w:w="0" w:type="dxa"/>
          <w:right w:w="0" w:type="dxa"/>
        </w:tblCellMar>
      </w:tblPr>
      <w:tblGrid>
        <w:gridCol w:w="770"/>
        <w:gridCol w:w="170"/>
        <w:gridCol w:w="170"/>
        <w:gridCol w:w="725"/>
        <w:gridCol w:w="170"/>
        <w:gridCol w:w="170"/>
        <w:gridCol w:w="410"/>
        <w:gridCol w:w="170"/>
        <w:gridCol w:w="170"/>
        <w:gridCol w:w="725"/>
        <w:gridCol w:w="170"/>
        <w:gridCol w:w="170"/>
        <w:gridCol w:w="860"/>
        <w:gridCol w:w="170"/>
        <w:gridCol w:w="170"/>
        <w:gridCol w:w="860"/>
        <w:gridCol w:w="170"/>
        <w:gridCol w:w="170"/>
        <w:gridCol w:w="665"/>
        <w:gridCol w:w="170"/>
        <w:gridCol w:w="170"/>
        <w:gridCol w:w="455"/>
        <w:gridCol w:w="170"/>
        <w:gridCol w:w="170"/>
        <w:gridCol w:w="650"/>
        <w:gridCol w:w="170"/>
        <w:gridCol w:w="170"/>
        <w:gridCol w:w="515"/>
        <w:gridCol w:w="170"/>
        <w:gridCol w:w="170"/>
        <w:gridCol w:w="905"/>
      </w:tblGrid>
      <w:tr>
        <w:trPr/>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25"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r>
      <w:tr>
        <w:trPr/>
        <w:tc>
          <w:tcPr>
            <w:tcW w:w="7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25" w:type="dxa"/>
            <w:gridSpan w:val="7"/>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Estimated Future Payouts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Under Non-Equity Incentive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Plan Awards</w:t>
            </w:r>
            <w:r>
              <w:rPr>
                <w:rFonts w:ascii="Times New Roman;Times;serif" w:hAnsi="Times New Roman;Times;serif"/>
                <w:b/>
                <w:color w:val="000000"/>
                <w:position w:val="5"/>
                <w:sz w:val="11"/>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gridSpan w:val="7"/>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Estimated Future Payouts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Under Equity Incentive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Plan Awards</w:t>
            </w:r>
            <w:r>
              <w:rPr>
                <w:rFonts w:ascii="Times New Roman;Times;serif" w:hAnsi="Times New Roman;Times;serif"/>
                <w:b/>
                <w:color w:val="000000"/>
                <w:position w:val="5"/>
                <w:sz w:val="11"/>
                <w:sz w:val="14"/>
              </w:rPr>
              <w:t>(2)</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515" w:type="dxa"/>
            <w:vMerge w:val="restart"/>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All Other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Shares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or Units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position w:val="5"/>
                <w:sz w:val="11"/>
                <w:sz w:val="14"/>
              </w:rPr>
              <w:t>(4)</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05" w:type="dxa"/>
            <w:vMerge w:val="restart"/>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Date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and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position w:val="5"/>
                <w:sz w:val="11"/>
                <w:sz w:val="14"/>
              </w:rPr>
              <w:t>(5)</w:t>
            </w:r>
            <w:r>
              <w:rPr>
                <w:rFonts w:ascii="Times New Roman;Times;serif" w:hAnsi="Times New Roman;Times;serif"/>
                <w:b/>
                <w:color w:val="000000"/>
                <w:sz w:val="14"/>
              </w:rPr>
              <w:t xml:space="preserve">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b/>
                <w:color w:val="000000"/>
                <w:sz w:val="14"/>
                <w:bdr w:val="single" w:sz="8" w:space="2" w:color="000000"/>
              </w:rPr>
            </w:pPr>
            <w:r>
              <w:rPr>
                <w:rFonts w:ascii="Times New Roman;Times;serif" w:hAnsi="Times New Roman;Times;serif"/>
                <w:b/>
                <w:color w:val="000000"/>
                <w:sz w:val="14"/>
                <w:bdr w:val="single" w:sz="8" w:space="2" w:color="00000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Type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Date</w:t>
            </w:r>
            <w:r>
              <w:rPr>
                <w:rFonts w:ascii="Times New Roman;Times;serif" w:hAnsi="Times New Roman;Times;serif"/>
                <w:b/>
                <w:color w:val="000000"/>
                <w:position w:val="5"/>
                <w:sz w:val="11"/>
                <w:sz w:val="14"/>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Threshold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Target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Maximum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Threshold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Target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Maximum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515" w:type="dxa"/>
            <w:vMerge w:val="continue"/>
            <w:tcBorders>
              <w:bottom w:val="single" w:sz="8" w:space="0" w:color="000000"/>
            </w:tcBorders>
            <w:tcMar>
              <w:bottom w:w="53"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05" w:type="dxa"/>
            <w:vMerge w:val="continue"/>
            <w:tcBorders>
              <w:bottom w:val="single" w:sz="8" w:space="0" w:color="000000"/>
            </w:tcBorders>
            <w:tcMar>
              <w:bottom w:w="53" w:type="dxa"/>
            </w:tcMar>
            <w:vAlign w:val="center"/>
          </w:tcPr>
          <w:p>
            <w:pPr>
              <w:pStyle w:val="Normal"/>
              <w:bidi w:val="0"/>
              <w:jc w:val="left"/>
              <w:rPr/>
            </w:pPr>
            <w:r>
              <w:rPr/>
            </w:r>
          </w:p>
        </w:tc>
      </w:tr>
      <w:tr>
        <w:trPr/>
        <w:tc>
          <w:tcPr>
            <w:tcW w:w="77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Darren M. Rebelez</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Annual Incentive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$506,250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$4,050,000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7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LTIP RSU</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16"/>
              </w:rPr>
            </w:pPr>
            <w:r>
              <w:rPr>
                <w:rFonts w:ascii="Times New Roman;Times;serif" w:hAnsi="Times New Roman;Times;serif"/>
                <w:color w:val="000000"/>
                <w:sz w:val="16"/>
              </w:rPr>
              <w:t>5,211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$2,322,491 </w:t>
            </w:r>
          </w:p>
        </w:tc>
      </w:tr>
      <w:tr>
        <w:trPr/>
        <w:tc>
          <w:tcPr>
            <w:tcW w:w="77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LTIP PSU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6"/>
              </w:rPr>
            </w:pPr>
            <w:r>
              <w:rPr>
                <w:rFonts w:ascii="Times New Roman;Times;serif" w:hAnsi="Times New Roman;Times;serif"/>
                <w:color w:val="000000"/>
                <w:sz w:val="16"/>
              </w:rPr>
              <w:t>3,908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7,816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15,632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$3,662,734 </w:t>
            </w:r>
          </w:p>
        </w:tc>
      </w:tr>
      <w:tr>
        <w:trPr/>
        <w:tc>
          <w:tcPr>
            <w:tcW w:w="77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LTIP PSU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6"/>
              </w:rPr>
            </w:pPr>
            <w:r>
              <w:rPr>
                <w:rFonts w:ascii="Times New Roman;Times;serif" w:hAnsi="Times New Roman;Times;serif"/>
                <w:color w:val="000000"/>
                <w:sz w:val="16"/>
              </w:rPr>
              <w:t>3,908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7,816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15,632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$3,662,734 </w:t>
            </w:r>
          </w:p>
        </w:tc>
      </w:tr>
      <w:tr>
        <w:trPr/>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2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9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 </w:t>
            </w:r>
          </w:p>
        </w:tc>
      </w:tr>
      <w:tr>
        <w:trPr/>
        <w:tc>
          <w:tcPr>
            <w:tcW w:w="77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Stephen P. </w:t>
            </w:r>
          </w:p>
          <w:p>
            <w:pPr>
              <w:pStyle w:val="TableContents"/>
              <w:bidi w:val="0"/>
              <w:spacing w:before="0" w:after="283"/>
              <w:ind w:left="190" w:right="0" w:hanging="0"/>
              <w:jc w:val="left"/>
              <w:rPr>
                <w:rFonts w:ascii="Times New Roman;Times;serif" w:hAnsi="Times New Roman;Times;serif"/>
                <w:color w:val="000000"/>
                <w:sz w:val="16"/>
              </w:rPr>
            </w:pPr>
            <w:r>
              <w:rPr>
                <w:rFonts w:ascii="Times New Roman;Times;serif" w:hAnsi="Times New Roman;Times;serif"/>
                <w:color w:val="000000"/>
                <w:sz w:val="16"/>
              </w:rPr>
              <w:t>Bramlage, Jr.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Annual Incentive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$202,500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$1,620,000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7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LTIP RSU</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16"/>
              </w:rPr>
            </w:pPr>
            <w:r>
              <w:rPr>
                <w:rFonts w:ascii="Times New Roman;Times;serif" w:hAnsi="Times New Roman;Times;serif"/>
                <w:color w:val="000000"/>
                <w:sz w:val="16"/>
              </w:rPr>
              <w:t>1,476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661,617 </w:t>
            </w:r>
          </w:p>
        </w:tc>
      </w:tr>
      <w:tr>
        <w:trPr/>
        <w:tc>
          <w:tcPr>
            <w:tcW w:w="77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LTIP PSU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6"/>
              </w:rPr>
            </w:pPr>
            <w:r>
              <w:rPr>
                <w:rFonts w:ascii="Times New Roman;Times;serif" w:hAnsi="Times New Roman;Times;serif"/>
                <w:color w:val="000000"/>
                <w:sz w:val="16"/>
              </w:rPr>
              <w:t>1,107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2,214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4,428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$1,037,525 </w:t>
            </w:r>
          </w:p>
        </w:tc>
      </w:tr>
      <w:tr>
        <w:trPr/>
        <w:tc>
          <w:tcPr>
            <w:tcW w:w="77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LTIP PSU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6"/>
              </w:rPr>
            </w:pPr>
            <w:r>
              <w:rPr>
                <w:rFonts w:ascii="Times New Roman;Times;serif" w:hAnsi="Times New Roman;Times;serif"/>
                <w:color w:val="000000"/>
                <w:sz w:val="16"/>
              </w:rPr>
              <w:t>1,107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2,214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4,428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$1,037,525 </w:t>
            </w:r>
          </w:p>
        </w:tc>
      </w:tr>
      <w:tr>
        <w:trPr/>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r>
      <w:tr>
        <w:trPr/>
        <w:tc>
          <w:tcPr>
            <w:tcW w:w="77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Ena Williams</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Annual Incentive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$202,500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$1,620,000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7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LTIP RSU</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16"/>
              </w:rPr>
            </w:pPr>
            <w:r>
              <w:rPr>
                <w:rFonts w:ascii="Times New Roman;Times;serif" w:hAnsi="Times New Roman;Times;serif"/>
                <w:color w:val="000000"/>
                <w:sz w:val="16"/>
              </w:rPr>
              <w:t>1,589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712,269 </w:t>
            </w:r>
          </w:p>
        </w:tc>
      </w:tr>
      <w:tr>
        <w:trPr/>
        <w:tc>
          <w:tcPr>
            <w:tcW w:w="77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LTIP PSU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6"/>
              </w:rPr>
            </w:pPr>
            <w:r>
              <w:rPr>
                <w:rFonts w:ascii="Times New Roman;Times;serif" w:hAnsi="Times New Roman;Times;serif"/>
                <w:color w:val="000000"/>
                <w:sz w:val="16"/>
              </w:rPr>
              <w:t>1,192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2,384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4,768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1,117,190 </w:t>
            </w:r>
          </w:p>
        </w:tc>
      </w:tr>
      <w:tr>
        <w:trPr/>
        <w:tc>
          <w:tcPr>
            <w:tcW w:w="77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LTIP PSU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6"/>
              </w:rPr>
            </w:pPr>
            <w:r>
              <w:rPr>
                <w:rFonts w:ascii="Times New Roman;Times;serif" w:hAnsi="Times New Roman;Times;serif"/>
                <w:color w:val="000000"/>
                <w:sz w:val="16"/>
              </w:rPr>
              <w:t>1,192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2,384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4,768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1,117,190 </w:t>
            </w:r>
          </w:p>
        </w:tc>
      </w:tr>
      <w:tr>
        <w:trPr/>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2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9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 </w:t>
            </w:r>
          </w:p>
        </w:tc>
      </w:tr>
      <w:tr>
        <w:trPr/>
        <w:tc>
          <w:tcPr>
            <w:tcW w:w="77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Thomas P. Brennan, Jr.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Annual Incentive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116,250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465,000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930,000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7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LTIP RSU</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16"/>
              </w:rPr>
            </w:pPr>
            <w:r>
              <w:rPr>
                <w:rFonts w:ascii="Times New Roman;Times;serif" w:hAnsi="Times New Roman;Times;serif"/>
                <w:color w:val="000000"/>
                <w:sz w:val="16"/>
              </w:rPr>
              <w:t>956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428,527 </w:t>
            </w:r>
          </w:p>
        </w:tc>
      </w:tr>
      <w:tr>
        <w:trPr/>
        <w:tc>
          <w:tcPr>
            <w:tcW w:w="77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LTIP PSU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6"/>
              </w:rPr>
            </w:pPr>
            <w:r>
              <w:rPr>
                <w:rFonts w:ascii="Times New Roman;Times;serif" w:hAnsi="Times New Roman;Times;serif"/>
                <w:color w:val="000000"/>
                <w:sz w:val="16"/>
              </w:rPr>
              <w:t>717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1,434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2,868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672,001 </w:t>
            </w:r>
          </w:p>
        </w:tc>
      </w:tr>
      <w:tr>
        <w:trPr/>
        <w:tc>
          <w:tcPr>
            <w:tcW w:w="77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LTIP PSU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6"/>
              </w:rPr>
            </w:pPr>
            <w:r>
              <w:rPr>
                <w:rFonts w:ascii="Times New Roman;Times;serif" w:hAnsi="Times New Roman;Times;serif"/>
                <w:color w:val="000000"/>
                <w:sz w:val="16"/>
              </w:rPr>
              <w:t>717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1,434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2,868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672,001 </w:t>
            </w:r>
          </w:p>
        </w:tc>
      </w:tr>
      <w:tr>
        <w:trPr/>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r>
      <w:tr>
        <w:trPr/>
        <w:tc>
          <w:tcPr>
            <w:tcW w:w="77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Chad M. Frazell</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Annual Incentive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$108,750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435,000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870,000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77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LTIP RSU</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16"/>
              </w:rPr>
            </w:pPr>
            <w:r>
              <w:rPr>
                <w:rFonts w:ascii="Times New Roman;Times;serif" w:hAnsi="Times New Roman;Times;serif"/>
                <w:color w:val="000000"/>
                <w:sz w:val="16"/>
              </w:rPr>
              <w:t>894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400,736 </w:t>
            </w:r>
          </w:p>
        </w:tc>
      </w:tr>
      <w:tr>
        <w:trPr/>
        <w:tc>
          <w:tcPr>
            <w:tcW w:w="77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LTIP PSU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6"/>
              </w:rPr>
            </w:pPr>
            <w:r>
              <w:rPr>
                <w:rFonts w:ascii="Times New Roman;Times;serif" w:hAnsi="Times New Roman;Times;serif"/>
                <w:color w:val="000000"/>
                <w:sz w:val="16"/>
              </w:rPr>
              <w:t>671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1,341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2,682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628,419 </w:t>
            </w:r>
          </w:p>
        </w:tc>
      </w:tr>
      <w:tr>
        <w:trPr/>
        <w:tc>
          <w:tcPr>
            <w:tcW w:w="77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LTIP PSU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6"/>
              </w:rPr>
            </w:pPr>
            <w:r>
              <w:rPr>
                <w:rFonts w:ascii="Times New Roman;Times;serif" w:hAnsi="Times New Roman;Times;serif"/>
                <w:color w:val="000000"/>
                <w:sz w:val="16"/>
              </w:rPr>
              <w:t>671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1,341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2,682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628,419</w:t>
            </w:r>
          </w:p>
        </w:tc>
      </w:tr>
      <w:tr>
        <w:trPr/>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potential cash incentive amounts payable to each NEO under the AIP. The total value at target is represented as a percentage of base salary. Below the threshold level, there is no payout. Achievement of the threshold level results in payout of 25% of target, and achievement of the maximum level results in payout of 200% of target. Each NEO’s annual incentive opportunity was based on (i) EBITDA (60%), and (ii) same-store sales growth for the inside sales categories (40%). See the Annual Incentive Compensation Program section of the CD&amp;A for additional information. The payments earned for the 2026 fiscal year, as set forth in the Summary Compensation Table, represent a payment equal to 161% of each NEOs’ target payout, resulting in the following payments: (i) Mr. Rebelez, $3,260,250; (ii) Mr. Bramlage, $1,304,100; (iii) Ms. Williams, $1,304,100; (iv) Mr. Brennan, $748,650; and (v) Mr. Frazell, $700,350.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PSUs subject to the Company’s achievement of ROIC and EBITDA performance goals over the Performance Period, representing 37.5% and 37.5%, respectively, of the total value of each NEO’s award under the 2026 LTIP. The total value of each award at target is represented as a percentage of base salary, with the actual number of target PSUs awarded based on the 20-day average closing price of Common Stock as of the award date. Below the threshold level, there is no payout. Achievement of the threshold level results in payout of 50% of target, and achievement of the maximum level results in payout of 200% of target. Additionally, the PSUs actually awarded will be subject to a positive or negative adjustment based upon a comparison of the Company’s TSR relative to the TSR Peer Group for the Performance Period. If the Company ranks in the bottom quartile of the group, the number of PSUs actually awarded will be reduced by 25%. If the Company ranks in the top quartile of the group, the number of PSUs actually awarded will be increased by 25% (which, based on the maximum level, may result in a payment of up to 250% of target for the PSUs). The various potential adjustments to the PSUs actually awarded as a result of the TSR modifier are not reflected in the table above. The PSUs vest in full on June 15, 2028, generally subject to continued employment and the Company’s achievement of the applicable performance goals.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4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grant date for each applicable award is the date on which the Compensation Committee or Board, as appliable, authorized/approved the award.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the 2026 LTIP, represents time-based RSUs that vest in three equal installments on June 15, 2026-2028, generally subject to continued employment, and represents 25% of the total value of each NEO’s award under the 2026 LTIP. The total value of each award at target is represented as a percentage of base salary (or for Mr. Rebelez, a dollar amount), with the actual number of RSUs awarded based on the 20-day average closing price of Common Stock as of the award date.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represent the grant date fair value of awards granted in fiscal year 2026 for financial reporting purposes computed in accordance with FASB ASC Topic 718.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0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9" descr=""/>
                          <pic:cNvPicPr>
                            <a:picLocks noChangeAspect="1" noChangeArrowheads="1"/>
                          </pic:cNvPicPr>
                        </pic:nvPicPr>
                        <pic:blipFill>
                          <a:blip r:embed="rId100"/>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2" w:name="ny20072699x1_def14a_110-comp_pg4"/>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3" w:name="tNS"/>
      <w:bookmarkEnd w:id="113"/>
      <w:r>
        <w:rPr>
          <w:rFonts w:ascii="Times New Roman;Times;serif" w:hAnsi="Times New Roman;Times;serif"/>
          <w:b/>
          <w:color w:val="000000"/>
          <w:sz w:val="20"/>
          <w:u w:val="single"/>
        </w:rPr>
        <w:t>Narrative to the Summary Compensation Table and the Grants of Plan-Based Awards Table</w:t>
      </w:r>
      <w:r>
        <w:rPr>
          <w:rFonts w:ascii="Times New Roman;Times;serif" w:hAnsi="Times New Roman;Times;serif"/>
          <w:b/>
          <w:color w:val="000000"/>
          <w:sz w:val="20"/>
        </w:rPr>
        <w:t xml:space="preserve">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Material Terms of Annual Incentive Program for Fiscal 2026</w:t>
      </w:r>
      <w:r>
        <w:rPr>
          <w:rFonts w:ascii="Times New Roman;Times;serif" w:hAnsi="Times New Roman;Times;serif"/>
          <w:b/>
          <w:color w:val="000000"/>
          <w:sz w:val="19"/>
        </w:rPr>
        <w:t xml:space="preserve"> </w:t>
      </w:r>
    </w:p>
    <w:p>
      <w:pPr>
        <w:pStyle w:val="TextBody"/>
        <w:bidi w:val="0"/>
        <w:spacing w:before="21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For a description of the Company’s 2026 fiscal year AIP, see the Annual Incentive Compensation Program section of the CD&amp;A. </w:t>
      </w:r>
    </w:p>
    <w:p>
      <w:pPr>
        <w:pStyle w:val="TextBody"/>
        <w:bidi w:val="0"/>
        <w:spacing w:before="29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Material Terms of Equity Awards Granted to the NEOs in Fiscal 2026</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RSUs and PSUs granted to the NEOs in the 2026 fiscal year were awarded under the 2018 Plan. For additional information, see the Long-Term Incentive Compensation section of the CD&amp;A. In addition: </w:t>
      </w:r>
    </w:p>
    <w:p>
      <w:pPr>
        <w:pStyle w:val="TextBody"/>
        <w:bidi w:val="0"/>
        <w:spacing w:before="290" w:after="283"/>
        <w:ind w:left="400" w:right="0" w:hanging="0"/>
        <w:jc w:val="left"/>
        <w:rPr>
          <w:rFonts w:ascii="Times New Roman;Times;serif" w:hAnsi="Times New Roman;Times;serif"/>
          <w:b/>
          <w:i/>
          <w:color w:val="000000"/>
          <w:sz w:val="19"/>
        </w:rPr>
      </w:pPr>
      <w:r>
        <w:rPr>
          <w:rFonts w:ascii="Times New Roman;Times;serif" w:hAnsi="Times New Roman;Times;serif"/>
          <w:b/>
          <w:i/>
          <w:color w:val="000000"/>
          <w:sz w:val="19"/>
        </w:rPr>
        <w:t xml:space="preserve">LTIP – RSUs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The RSUs, which are time-based, vest in three equal installments on June 15, 2026-2028, generally subject to continued employment through the applicable vesting date, and represent 25% of the overall value of the 2026 LTIP. The RSUs will accrue dividend equivalents which will be paid in cash if, and only to the extent that, the applicable vesting requirements have been met (no payment will be made for RSUs that do not vest).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Upon a qualifying retirement, the NEO will retain all unvested RSUs, which will vest as originally scheduled. Upon death or disability, other than within 24 months following a change of control, all unvested RSUs immediately vest as of such date. Upon termination due to reduction in force or job elimination, other than within 24 months of a change of control, the NEO will retain all units that were scheduled to vest within 12 months of the termination date, which will vest as originally scheduled, and will forfeit any remaining unvested units. Upon Mr. Rebelez’s termination without cause, or due to his resignation with good reason, he will be entitled to accelerated vesting of a pro-rata portion of unvested RSUs, as set forth in his Employment Agreement (discussed below). All RSUs will be forfeited upon termination of employment for any other reason prior to vesting.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Upon a change of control (as defined in the 2018 Plan), unvested RSUs will not vest. If, however, within 24 months following the change of control, the NEO’s employment is terminated without cause by the Company, by the NEO for good reason (each as defined in the 2018 Plan) or as a result of death or disability, then as of the date of such termination, all such RSUs will automatically be deemed vested, and all restrictions and forfeiture provisions will lapse. Furthermore, if, in connection with the change of control, no provision is made for assumption, continuation or substitution of the RSUs on the same material terms, then as of the date of such change of control, all such RSUs will automatically vest, and all restrictions and forfeiture provisions will lapse. </w:t>
      </w:r>
    </w:p>
    <w:p>
      <w:pPr>
        <w:pStyle w:val="TextBody"/>
        <w:bidi w:val="0"/>
        <w:spacing w:before="270" w:after="283"/>
        <w:ind w:left="400" w:right="0" w:hanging="0"/>
        <w:jc w:val="left"/>
        <w:rPr>
          <w:rFonts w:ascii="Times New Roman;Times;serif" w:hAnsi="Times New Roman;Times;serif"/>
          <w:b/>
          <w:i/>
          <w:color w:val="000000"/>
          <w:sz w:val="19"/>
        </w:rPr>
      </w:pPr>
      <w:r>
        <w:rPr>
          <w:rFonts w:ascii="Times New Roman;Times;serif" w:hAnsi="Times New Roman;Times;serif"/>
          <w:b/>
          <w:i/>
          <w:color w:val="000000"/>
          <w:sz w:val="19"/>
        </w:rPr>
        <w:t xml:space="preserve">LTIP – PSUs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The PSUs vest in full on June 15, 2028, generally subject to continued employment through the vesting date and the Company’s achievement of the applicable performance conditions, and represent 75% of the overall value of the 2026 LTIP. Half of the PSUs are subject to ROIC performance conditions and the other half are subject to EBITDA performance conditions. The PSUs accrue dividend equivalents which will be paid in cash if, and only to the extent that, the applicable performance goals and vesting requirements have been met (no payment will be made for PSUs that do not vest).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The final number of shares awarded will be based on the Company’s (i) average ROIC achievement over the Performance Period and (ii) EBITDA achievement during the Performance Period. The PSUs will be earned based on achievement of threshold (50% of target), target (100% of target) and maximum (200% of target) performance goals. Below the threshold level, there is no payout. Additionally, the PSUs will be subject to a positive or negative adjustment based upon a comparison of the Company’s TSR relative to the TSR Peer Group for the Performance Period. If the Company ranks in the bottom quartile of the group, the number of PSUs actually awarded will be reduced by 25%. If the Company ranks in the top quartile of the group, the number of PSUs actually awarded will be increased by 25% (which, based on the maximum level, may result in a payment of up to 250% of target for the PSUs).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Upon a qualifying retirement, the NEO will retain all unvested PSUs, which will vest as originally scheduled, subject to the Company’s achievement of applicable performance goals. Upon death or disability, other than within 24 months following a change of control, all unvested PSUs will immediately vest as of such date at the target level, pro-rated for the portion of the Performance Period completed. Upon termination due to reduction in force or job elimination, other than within 24 months of a change of control, the NEO will retain all units that were scheduled to vest within 12 months of the termination date, which will vest as originally scheduled, and will forfeit any remaining unvested units. All PSUs will be forfeited upon termination of employment for any other reason prior to vesting.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PSUs that are unvested will not vest upon a change of control (as defined in the 2018 Plan). Instead, if the change of control occurs prior to the end of the Performance Period, the performance goals shall be deemed to have been met based on the Company’s performance as of immediately prior to the change of control, and the units shall remain outstanding as time-based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0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0" descr=""/>
                          <pic:cNvPicPr>
                            <a:picLocks noChangeAspect="1" noChangeArrowheads="1"/>
                          </pic:cNvPicPr>
                        </pic:nvPicPr>
                        <pic:blipFill>
                          <a:blip r:embed="rId101"/>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4" w:name="ny20072699x1_def14a_110-comp_pg5"/>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units. If, within 24 months thereof, the NEO’s employment is terminated without cause by the Company, by the NEO for good reason (each as defined in the 2018 Plan) or as a result of death or disability, then as of the date of such termination, all units that are unvested will automatically vest, and all restrictions and forfeiture provisions will lapse. However, if in connection with a change of control, no provision is made for the assumption, continuation or substitution of the PSUs on the same material terms, then as of the date of such change of control, the achievement of the performance goals shall be deemed satisfied based on the Company’s performance as of immediately prior to the change of control, and the PSUs shall automatically vest to the extent the goals are satisfied. </w:t>
      </w:r>
    </w:p>
    <w:p>
      <w:pPr>
        <w:pStyle w:val="TextBody"/>
        <w:bidi w:val="0"/>
        <w:spacing w:before="28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Employment Agreements</w:t>
      </w:r>
      <w:r>
        <w:rPr>
          <w:rFonts w:ascii="Times New Roman;Times;serif" w:hAnsi="Times New Roman;Times;serif"/>
          <w:b/>
          <w:color w:val="000000"/>
          <w:sz w:val="19"/>
        </w:rPr>
        <w:t xml:space="preserve"> </w:t>
      </w:r>
    </w:p>
    <w:p>
      <w:pPr>
        <w:pStyle w:val="TextBody"/>
        <w:bidi w:val="0"/>
        <w:spacing w:before="150" w:after="283"/>
        <w:ind w:left="400" w:right="0" w:hanging="0"/>
        <w:jc w:val="left"/>
        <w:rPr>
          <w:rFonts w:ascii="Times New Roman;Times;serif" w:hAnsi="Times New Roman;Times;serif"/>
          <w:b/>
          <w:i/>
          <w:color w:val="000000"/>
          <w:sz w:val="19"/>
        </w:rPr>
      </w:pPr>
      <w:r>
        <w:rPr>
          <w:rFonts w:ascii="Times New Roman;Times;serif" w:hAnsi="Times New Roman;Times;serif"/>
          <w:b/>
          <w:i/>
          <w:color w:val="000000"/>
          <w:sz w:val="19"/>
        </w:rPr>
        <w:t xml:space="preserve">Employment Agreement with Mr. Rebelez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Mr. Rebelez’s employment agreement, as amended on December 5, 2024, provides for Mr. Rebelez’ s employment as President and CEO for a three-year term commencing on June 24, 2025 and concluding on June 24, 2028, unless sooner terminated as set forth therein. The term automatically renews for subsequent one-year terms, unless either Mr. Rebelez or the Company gives notice of non-renewal by January 1, 2028; provided, however, that if the Company gives notice of non-renewal on or after June 24, 2027, it will employ Mr. Rebelez in a transitional role for a minimum of one year thereafter. Mr. Rebelez is entitled to (i) a base salary at an annual rate of at least $1,350,000, (ii) an annual target bonus opportunity equal to at least 150% of base salary, and (iii) an annual long-term incentive award with a target grant date value equal to at least $9,275,000. Mr. Rebelez is also entitled to use, for personal purposes, the Company’s aircraft for up to 50 hours of flight time per fiscal year, subject to the Company’s policies regarding aircraft usage requirements.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Mr. Rebelez’s employment agreement provides that upon a termination of his employment by the Company without cause or due to his resignation with good reason (as defined in his employment agreement), Mr. Rebelez will become entitled to (i) a lump-sum cash severance payment equal to 24 months’ base salary and, for 24 months following such termination, a monthly cash payment equal to Mr. Rebelez’s monthly COBRA premiums, in each case, subject to execution of a general release and compliance with restrictive covenants; in the event of a termination within 24 months following a change of control, he will instead become eligible for the benefits set forth in his change of control agreement, as described below, and applicable award agreements, (ii) a prorated portion of his target AIP for the fiscal year of such termination and (iii) accelerated vesting of a pro-rata portion of time-based RSUs granted pursuant to his annual LTIP award.</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During Mr. Rebelez’s employment and for two years following termination thereof for any reason, Mr. Rebelez will be subject to non-competition and employee and customer non-solicitation covenants. In the event Mr. Rebelez breaches the restrictive covenants, he will forfeit any outstanding equity awards and the unpaid portion of any severance payments or benefits. </w:t>
      </w:r>
    </w:p>
    <w:p>
      <w:pPr>
        <w:pStyle w:val="TextBody"/>
        <w:bidi w:val="0"/>
        <w:spacing w:before="270" w:after="283"/>
        <w:ind w:left="400" w:right="0" w:hanging="0"/>
        <w:jc w:val="left"/>
        <w:rPr>
          <w:rFonts w:ascii="Times New Roman;Times;serif" w:hAnsi="Times New Roman;Times;serif"/>
          <w:b/>
          <w:i/>
          <w:color w:val="000000"/>
          <w:sz w:val="19"/>
        </w:rPr>
      </w:pPr>
      <w:r>
        <w:rPr>
          <w:rFonts w:ascii="Times New Roman;Times;serif" w:hAnsi="Times New Roman;Times;serif"/>
          <w:b/>
          <w:i/>
          <w:color w:val="000000"/>
          <w:sz w:val="19"/>
        </w:rPr>
        <w:t xml:space="preserve">Employment Agreement with Mr. Bramlage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Mr. Bramlage’s employment agreement, dated May 12, 2020, provides for his employment as CFO until terminated by either Mr. Bramlage or the Company as set forth therein. Mr. Bramlage is entitled to (i) a base salary at an annual rate of at least $675,000, (ii) an annual target bonus opportunity equal to at least 75% of base salary, and (iii) an annual long-term incentive award with a target grant date value equal to at least 175% of base salary.</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In the event of a termination of Mr. Bramlage’s employment by the Company without cause or by Mr. Bramlage for good reason (as defined in his employment agreement), in each case, other than within 24 months following a change of control, the Company is obligated to pay Mr. Bramlage a cash severance payment equal to 18 months’ base salary and COBRA premiums, payable in equal installments over 18 months, subject to his execution of a general release and compliance with restrictive covenants. In the event of a termination within 24 months following a change of control, Mr. Bramlage will instead become eligible for the benefits set forth in his change of control agreement, as described below, and applicable award agreements.</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During Mr. Bramlage’s employment and for 18 months following termination thereof for any reason, Mr. Bramlage will be subject to non-competition and employee and customer non-solicitation covenants. In the event Mr. Bramlage breaches the restrictive covenants, he will forfeit any outstanding equity awards and the unpaid portion of any severance payments or benefits. </w:t>
      </w:r>
    </w:p>
    <w:p>
      <w:pPr>
        <w:pStyle w:val="TextBody"/>
        <w:bidi w:val="0"/>
        <w:spacing w:before="270" w:after="283"/>
        <w:ind w:left="400" w:right="0" w:hanging="0"/>
        <w:jc w:val="left"/>
        <w:rPr>
          <w:rFonts w:ascii="Times New Roman;Times;serif" w:hAnsi="Times New Roman;Times;serif"/>
          <w:b/>
          <w:i/>
          <w:color w:val="000000"/>
          <w:sz w:val="19"/>
        </w:rPr>
      </w:pPr>
      <w:r>
        <w:rPr>
          <w:rFonts w:ascii="Times New Roman;Times;serif" w:hAnsi="Times New Roman;Times;serif"/>
          <w:b/>
          <w:i/>
          <w:color w:val="000000"/>
          <w:sz w:val="19"/>
        </w:rPr>
        <w:t xml:space="preserve">Employment Agreement with Ms. Williams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Ms. Williams’ employment agreement, dated May 8, 2020, provides for her employment as COO until terminated by either Ms. Williams or the Company as set forth therein. Ms. Williams is entitled to (i) a base salary at an annual rate of at least $650,000, (ii) an annual target bonus opportunity equal to at least 75% of base salary, and (iii) an annual long-term incentive award with a target grant date value equal to at least 175% of base salary.</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In the event of a termination of Ms. Williams’ employment by the Company without cause or by Ms. Williams for good reason (as defined in her employment agreement), in each case, other than within 24 months following a change of control, the Company is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0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1" descr=""/>
                          <pic:cNvPicPr>
                            <a:picLocks noChangeAspect="1" noChangeArrowheads="1"/>
                          </pic:cNvPicPr>
                        </pic:nvPicPr>
                        <pic:blipFill>
                          <a:blip r:embed="rId102"/>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5" w:name="ny20072699x1_def14a_110-comp_pg6"/>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obligated to pay Ms. Williams a cash severance payment equal to 18 months’ base salary and COBRA premiums, payable in equal installments over 18 months, subject to her execution of a general release and compliance with restrictive covenants. In the event of a termination within 24 months following a change of control, Ms. Williams will instead become eligible for the benefits set forth in her change of control agreement, as described below, and applicable award agreements.</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During Ms. Williams’ employment and for 18 months following termination thereof for any reason, Ms. Williams will be subject to non-competition and employee and customer non-solicitation covenants. In the event Ms. Williams breaches any of the restrictive covenants, she will forfeit any outstanding equity awards and the unpaid portion of any severance payments or benefits. </w:t>
      </w:r>
    </w:p>
    <w:p>
      <w:pPr>
        <w:pStyle w:val="TextBody"/>
        <w:bidi w:val="0"/>
        <w:spacing w:before="28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Change of Control Severance Agreements</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NEOs are each a party to a “double-trigger” change of control agreement (each, a “COC Agreement”) with the Company, as described below. In the event of a change of control, and until the earlier of the second anniversary thereof and the NEO’s normal retirement date under the Company’s 401(k) Plan, if the NEO’s employment is terminated by the Company without cause or by the NEO for good reason (each as defined in the COC Agreement) (a “Qualifying Termination”), the NEO would be entitled to a lump-sum cash severance payment in an amount equal to the sum of: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(i)</w:t>
            </w:r>
          </w:p>
        </w:tc>
        <w:tc>
          <w:tcPr>
            <w:tcW w:w="10017"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two times (2.5 times for Mr. Rebelez) the sum of (i) the NEO’s then-current annual base salary (or, if higher, the annual base salary in effect immediately prior to the change of control) and (ii) the greater of the annual bonus received by the NEO for the last full fiscal year prior to such termination or the last full fiscal year prior to the change of control (the “Recent Bonus”), </w:t>
            </w:r>
          </w:p>
        </w:tc>
      </w:tr>
    </w:tbl>
    <w:tbl>
      <w:tblPr>
        <w:tblW w:w="2755" w:type="dxa"/>
        <w:jc w:val="left"/>
        <w:tblInd w:w="0" w:type="dxa"/>
        <w:tblLayout w:type="fixed"/>
        <w:tblCellMar>
          <w:top w:w="0" w:type="dxa"/>
          <w:left w:w="0" w:type="dxa"/>
          <w:bottom w:w="0" w:type="dxa"/>
          <w:right w:w="0" w:type="dxa"/>
        </w:tblCellMar>
      </w:tblPr>
      <w:tblGrid>
        <w:gridCol w:w="290"/>
        <w:gridCol w:w="2465"/>
      </w:tblGrid>
      <w:tr>
        <w:trPr/>
        <w:tc>
          <w:tcPr>
            <w:tcW w:w="290"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(ii)</w:t>
            </w:r>
          </w:p>
        </w:tc>
        <w:tc>
          <w:tcPr>
            <w:tcW w:w="246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 xml:space="preserve">a pro rata Recent Bonus; and </w:t>
            </w:r>
          </w:p>
        </w:tc>
      </w:tr>
    </w:tbl>
    <w:tbl>
      <w:tblPr>
        <w:tblW w:w="8635" w:type="dxa"/>
        <w:jc w:val="left"/>
        <w:tblInd w:w="0" w:type="dxa"/>
        <w:tblLayout w:type="fixed"/>
        <w:tblCellMar>
          <w:top w:w="0" w:type="dxa"/>
          <w:left w:w="0" w:type="dxa"/>
          <w:bottom w:w="0" w:type="dxa"/>
          <w:right w:w="0" w:type="dxa"/>
        </w:tblCellMar>
      </w:tblPr>
      <w:tblGrid>
        <w:gridCol w:w="350"/>
        <w:gridCol w:w="8285"/>
      </w:tblGrid>
      <w:tr>
        <w:trPr/>
        <w:tc>
          <w:tcPr>
            <w:tcW w:w="350"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(iii)</w:t>
            </w:r>
          </w:p>
        </w:tc>
        <w:tc>
          <w:tcPr>
            <w:tcW w:w="8285" w:type="dxa"/>
            <w:tcBorders/>
            <w:vAlign w:val="center"/>
          </w:tcPr>
          <w:p>
            <w:pPr>
              <w:pStyle w:val="TableContents"/>
              <w:bidi w:val="0"/>
              <w:spacing w:before="0" w:after="0"/>
              <w:jc w:val="left"/>
              <w:rPr>
                <w:rFonts w:ascii="Times New Roman;Times;serif" w:hAnsi="Times New Roman;Times;serif"/>
                <w:color w:val="000000"/>
                <w:sz w:val="19"/>
              </w:rPr>
            </w:pPr>
            <w:r>
              <w:rPr>
                <w:rFonts w:ascii="Times New Roman;Times;serif" w:hAnsi="Times New Roman;Times;serif"/>
                <w:color w:val="000000"/>
                <w:sz w:val="19"/>
              </w:rPr>
              <w:t>an amount equal to 24 months (30 months for Mr. Rebelez) of the NEO’s monthly COBRA premiums.</w:t>
            </w:r>
          </w:p>
        </w:tc>
      </w:tr>
    </w:tbl>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If the NEO experiences a Qualifying Termination following a potential change of control but prior to a change of control, and it is demonstrated that such Qualifying Termination was at the request of the potential acquirer or otherwise was in connection with the change of control and the change of control actually occurs, then the NEO would be entitled to receive a lump-sum cash payment within 30 days following such change of control equal to the excess, if any, of the aggregate severance payments described in the preceding sentence over the aggregate severance payments the NEO would have received under their employment agreement or the Officer Severance Plan, as applicable, as a result of such Qualifying Termination.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NEO is not entitled to any excise tax gross-up payments with respect to Section 280G. Instead, the COC Agreement provides for a “best net” approach, whereby change of control payments are limited to the threshold amount under Section 280G if it would be more favorable to the NEO on a net after-tax basis than receiving the full payments and paying the excise taxes.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For purposes of a COC Agreement: “change of control” means: (a) the acquisition by any person of beneficial ownership of twenty percent (20%) or more of the combined voting power of the then outstanding voting securities of the Company entitled to vote generally in the election of Directors (the “Outstanding Company Voting Securities”). Notwithstanding the immediately preceding sentence, the following acquisitions shall not constitute a Change of Control: (i) any acquisition by a person who on the Effective Date is the beneficial owner of twenty percent (20%) or more of the Outstanding Company Voting Securities; (ii) any acquisition directly from the Company, including without limitation, a public offering of securities; (iii) any acquisition by the Company; (iv) any acquisition by any employee benefit plan (or related trust) sponsored or maintained by the Company or any affiliate or subsidiary; and (v) any Non-Qualifying Transaction; (b) individuals who constitute the Board as of the effective date of the agreement (the “Incumbent Board”) cease for any reason to constitute at least a majority of the Board; provided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is pursuant to an actual or threatened election contest relating to the election or removal of the directors of the Company or other actual or threatened solicitation of proxies or consents by or on behalf of a person other than the Board; (c) consummation of a reorganization, merger, or consolidation or similar transaction to which the Company is a party or a sale or other disposition of all or substantially all of the assets of the Company (a “Business Combination”), in each case, unless, following such Business Combination, (i) all or substantially all of the individuals and entities who were the Beneficial Owners of Outstanding Company Voting Securities immediately prior to such Business Combination beneficially own, directly or indirectly, more than fifty percent (50%) of the combined voting power of the outstanding voting securities entitled to vote generally in the election of directors of the corporation resulting from the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(ii) individuals who were members of the Incumbent Board at the time of the execution of the initial agreement or of the action of the Board providing for such Business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0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2" descr=""/>
                          <pic:cNvPicPr>
                            <a:picLocks noChangeAspect="1" noChangeArrowheads="1"/>
                          </pic:cNvPicPr>
                        </pic:nvPicPr>
                        <pic:blipFill>
                          <a:blip r:embed="rId103"/>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6" w:name="ny20072699x1_def14a_110-comp_pg7"/>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Combination constitute at least a majority of the members of the board of directors of the corporation resulting from such Business Combination, and (iii) no person (other than the Company, any employee benefit plan (or related trust) of the Company or such corporation resulting from such Business Combination) beneficially owns, directly or indirectly, twenty percent (20%) or more of, respectively, the outstanding shares of common stock of the corporation resulting from such Business Combination or the combined voting power of the outstanding voting securities of such corporation entitled to vote generally in the election of directors except to the extent that such ownership existed prior to the Business Combination (any transaction that satisfies all of the criteria specified in the foregoing clauses (i), (ii) and (iii), a “Non-Qualifying Transaction”); or (d) approval by the shareholders of the Company of a complete liquidation or dissolution of the Company. </w:t>
      </w:r>
    </w:p>
    <w:p>
      <w:pPr>
        <w:pStyle w:val="TextBody"/>
        <w:bidi w:val="0"/>
        <w:spacing w:before="280" w:after="283"/>
        <w:jc w:val="center"/>
        <w:rPr>
          <w:rFonts w:ascii="Times New Roman;Times;serif" w:hAnsi="Times New Roman;Times;serif"/>
          <w:b/>
          <w:color w:val="000000"/>
          <w:sz w:val="20"/>
        </w:rPr>
      </w:pPr>
      <w:bookmarkStart w:id="117" w:name="tOU"/>
      <w:bookmarkEnd w:id="117"/>
      <w:r>
        <w:rPr>
          <w:rFonts w:ascii="Times New Roman;Times;serif" w:hAnsi="Times New Roman;Times;serif"/>
          <w:b/>
          <w:color w:val="000000"/>
          <w:sz w:val="20"/>
          <w:u w:val="single"/>
        </w:rPr>
        <w:t>Outstanding Equity Awards at 2026 Fiscal Year-End</w:t>
      </w:r>
      <w:r>
        <w:rPr>
          <w:rFonts w:ascii="Times New Roman;Times;serif" w:hAnsi="Times New Roman;Times;serif"/>
          <w:b/>
          <w:color w:val="000000"/>
          <w:sz w:val="20"/>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market value of the stock awards in the following table is calculated based on the closing price of Common Stock on April 30, 2026 ($822.15), the last trading day of the Company’s 2026 fiscal year. </w:t>
      </w:r>
    </w:p>
    <w:tbl>
      <w:tblPr>
        <w:tblW w:w="11525" w:type="dxa"/>
        <w:jc w:val="left"/>
        <w:tblInd w:w="0" w:type="dxa"/>
        <w:tblLayout w:type="fixed"/>
        <w:tblCellMar>
          <w:top w:w="0" w:type="dxa"/>
          <w:left w:w="0" w:type="dxa"/>
          <w:bottom w:w="0" w:type="dxa"/>
          <w:right w:w="0" w:type="dxa"/>
        </w:tblCellMar>
      </w:tblPr>
      <w:tblGrid>
        <w:gridCol w:w="890"/>
        <w:gridCol w:w="170"/>
        <w:gridCol w:w="170"/>
        <w:gridCol w:w="500"/>
        <w:gridCol w:w="170"/>
        <w:gridCol w:w="170"/>
        <w:gridCol w:w="980"/>
        <w:gridCol w:w="170"/>
        <w:gridCol w:w="170"/>
        <w:gridCol w:w="1115"/>
        <w:gridCol w:w="170"/>
        <w:gridCol w:w="170"/>
        <w:gridCol w:w="650"/>
        <w:gridCol w:w="170"/>
        <w:gridCol w:w="170"/>
        <w:gridCol w:w="830"/>
        <w:gridCol w:w="170"/>
        <w:gridCol w:w="170"/>
        <w:gridCol w:w="635"/>
        <w:gridCol w:w="170"/>
        <w:gridCol w:w="170"/>
        <w:gridCol w:w="980"/>
        <w:gridCol w:w="170"/>
        <w:gridCol w:w="170"/>
        <w:gridCol w:w="755"/>
        <w:gridCol w:w="170"/>
        <w:gridCol w:w="170"/>
        <w:gridCol w:w="1130"/>
      </w:tblGrid>
      <w:tr>
        <w:trPr/>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95"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20" w:type="dxa"/>
            <w:gridSpan w:val="10"/>
            <w:tcBorders/>
            <w:vAlign w:val="center"/>
          </w:tcPr>
          <w:p>
            <w:pPr>
              <w:pStyle w:val="TableContents"/>
              <w:bidi w:val="0"/>
              <w:spacing w:before="0" w:after="0"/>
              <w:jc w:val="left"/>
              <w:rPr/>
            </w:pPr>
            <w:r>
              <w:rPr/>
              <w:t> </w:t>
            </w:r>
          </w:p>
        </w:tc>
      </w:tr>
      <w:tr>
        <w:trPr/>
        <w:tc>
          <w:tcPr>
            <w:tcW w:w="8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9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Awards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2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890" w:type="dxa"/>
            <w:tcBorders/>
            <w:vAlign w:val="center"/>
          </w:tcPr>
          <w:p>
            <w:pPr>
              <w:pStyle w:val="TableContents"/>
              <w:bidi w:val="0"/>
              <w:spacing w:before="0" w:after="283"/>
              <w:ind w:left="0" w:right="0" w:hanging="0"/>
              <w:jc w:val="left"/>
              <w:rPr>
                <w:rFonts w:ascii="Times New Roman;Times;serif" w:hAnsi="Times New Roman;Times;serif"/>
                <w:b/>
                <w:color w:val="000000"/>
                <w:sz w:val="16"/>
                <w:bdr w:val="single" w:sz="8" w:space="2" w:color="000000"/>
              </w:rPr>
            </w:pPr>
            <w:r>
              <w:rPr>
                <w:rFonts w:ascii="Times New Roman;Times;serif" w:hAnsi="Times New Roman;Times;serif"/>
                <w:b/>
                <w:color w:val="000000"/>
                <w:sz w:val="16"/>
                <w:bdr w:val="single" w:sz="8" w:space="2" w:color="000000"/>
              </w:rPr>
              <w:t>Name(s)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Exercisable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Un-exercisable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Expiration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Units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That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Have Not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Market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Units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That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Have Not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Incentive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Unearned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Units 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Have Not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Incentive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Market 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Payout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Unearned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Units 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That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Have Not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Darren M. Rebelez</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4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4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8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20"/>
              </w:rPr>
            </w:pPr>
            <w:r>
              <w:rPr>
                <w:rFonts w:ascii="Times New Roman;Times;serif" w:hAnsi="Times New Roman;Times;serif"/>
                <w:color w:val="000000"/>
                <w:sz w:val="20"/>
              </w:rPr>
              <w:t>11,380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$9,356,067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103,833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$85,366,301 </w:t>
            </w:r>
          </w:p>
        </w:tc>
      </w:tr>
      <w:tr>
        <w:trPr/>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P. Bramlage, Jr.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0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4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4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6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09" w:right="0" w:hanging="0"/>
              <w:jc w:val="left"/>
              <w:rPr>
                <w:rFonts w:ascii="Times New Roman;Times;serif" w:hAnsi="Times New Roman;Times;serif"/>
                <w:color w:val="000000"/>
                <w:sz w:val="20"/>
              </w:rPr>
            </w:pPr>
            <w:r>
              <w:rPr>
                <w:rFonts w:ascii="Times New Roman;Times;serif" w:hAnsi="Times New Roman;Times;serif"/>
                <w:color w:val="000000"/>
                <w:sz w:val="20"/>
              </w:rPr>
              <w:t>3,126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$2,570,041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28,401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$23,349,882 </w:t>
            </w:r>
          </w:p>
        </w:tc>
      </w:tr>
      <w:tr>
        <w:trPr/>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Ena Williams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4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4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8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20"/>
              </w:rPr>
            </w:pPr>
            <w:r>
              <w:rPr>
                <w:rFonts w:ascii="Times New Roman;Times;serif" w:hAnsi="Times New Roman;Times;serif"/>
                <w:color w:val="000000"/>
                <w:sz w:val="20"/>
              </w:rPr>
              <w:t>3,337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$2,743,515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29,617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$24,349,617 </w:t>
            </w:r>
          </w:p>
        </w:tc>
      </w:tr>
      <w:tr>
        <w:trPr/>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P. Brennan, Jr.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0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4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4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6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09" w:right="0" w:hanging="0"/>
              <w:jc w:val="left"/>
              <w:rPr>
                <w:rFonts w:ascii="Times New Roman;Times;serif" w:hAnsi="Times New Roman;Times;serif"/>
                <w:color w:val="000000"/>
                <w:sz w:val="20"/>
              </w:rPr>
            </w:pPr>
            <w:r>
              <w:rPr>
                <w:rFonts w:ascii="Times New Roman;Times;serif" w:hAnsi="Times New Roman;Times;serif"/>
                <w:color w:val="000000"/>
                <w:sz w:val="20"/>
              </w:rPr>
              <w:t>1,962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$1,613,058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17,465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$14,358,850 </w:t>
            </w:r>
          </w:p>
        </w:tc>
      </w:tr>
      <w:tr>
        <w:trPr/>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Chad M. Frazell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4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4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8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20"/>
              </w:rPr>
            </w:pPr>
            <w:r>
              <w:rPr>
                <w:rFonts w:ascii="Times New Roman;Times;serif" w:hAnsi="Times New Roman;Times;serif"/>
                <w:color w:val="000000"/>
                <w:sz w:val="20"/>
              </w:rPr>
              <w:t>1,728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$1,420,675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14,825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$12,188,374</w:t>
            </w:r>
          </w:p>
        </w:tc>
      </w:tr>
      <w:tr>
        <w:trPr/>
        <w:tc>
          <w:tcPr>
            <w:tcW w:w="8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column presents the number of shares of Common Stock as represented by outstanding and unvested RSU awards, all of which remained subject to time-based vesting conditions and had not vested as of April 30, 2026. The RSUs shown in this column vest as follows: </w:t>
            </w:r>
          </w:p>
        </w:tc>
      </w:tr>
    </w:tbl>
    <w:tbl>
      <w:tblPr>
        <w:tblW w:w="4640" w:type="dxa"/>
        <w:jc w:val="left"/>
        <w:tblInd w:w="0" w:type="dxa"/>
        <w:tblLayout w:type="fixed"/>
        <w:tblCellMar>
          <w:top w:w="0" w:type="dxa"/>
          <w:left w:w="0" w:type="dxa"/>
          <w:bottom w:w="0" w:type="dxa"/>
          <w:right w:w="0" w:type="dxa"/>
        </w:tblCellMar>
      </w:tblPr>
      <w:tblGrid>
        <w:gridCol w:w="1760"/>
        <w:gridCol w:w="170"/>
        <w:gridCol w:w="170"/>
        <w:gridCol w:w="590"/>
        <w:gridCol w:w="170"/>
        <w:gridCol w:w="170"/>
        <w:gridCol w:w="590"/>
        <w:gridCol w:w="170"/>
        <w:gridCol w:w="170"/>
        <w:gridCol w:w="680"/>
      </w:tblGrid>
      <w:tr>
        <w:trPr/>
        <w:tc>
          <w:tcPr>
            <w:tcW w:w="17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r>
      <w:tr>
        <w:trPr/>
        <w:tc>
          <w:tcPr>
            <w:tcW w:w="176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6/15/26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6/15/27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6/15/28 </w:t>
            </w:r>
          </w:p>
        </w:tc>
      </w:tr>
      <w:tr>
        <w:trPr/>
        <w:tc>
          <w:tcPr>
            <w:tcW w:w="17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Darren M. Rebelez</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6,032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3,611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1,737 </w:t>
            </w:r>
          </w:p>
        </w:tc>
      </w:tr>
      <w:tr>
        <w:trPr/>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Stephen P. Bramlage, Jr.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1,655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979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492 </w:t>
            </w:r>
          </w:p>
        </w:tc>
      </w:tr>
      <w:tr>
        <w:trPr/>
        <w:tc>
          <w:tcPr>
            <w:tcW w:w="17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Ena Williams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1,741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1,066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530 </w:t>
            </w:r>
          </w:p>
        </w:tc>
      </w:tr>
      <w:tr>
        <w:trPr/>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Thomas P. Brennan, Jr.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1,026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617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319 </w:t>
            </w:r>
          </w:p>
        </w:tc>
      </w:tr>
      <w:tr>
        <w:trPr/>
        <w:tc>
          <w:tcPr>
            <w:tcW w:w="17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Chad M. Frazell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887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543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298</w:t>
            </w:r>
          </w:p>
        </w:tc>
      </w:tr>
      <w:tr>
        <w:trPr/>
        <w:tc>
          <w:tcPr>
            <w:tcW w:w="17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column presents the outstanding and unvested PSU awards granted in the 2024-2026 fiscal years, all of which remained subject to performance criteria and had not vested as of April 30, 2026. Based on SEC guidance, we included the PSU awards based on the next highest payout level (i.e., threshold, target or maximum) that exceeds our actual performance for the portion of the performance period that elapsed as of April 30, 2026, which (i) in the case of awards vesting in 2026 and 2027, assumes payout at maximum, (ii) in the case of all PSUs vesting in 2028, assumes payout at target.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Additionally, the PSU awards granted in the 2024-2026 fiscal years will be subject to the TSR Modifier (i.e., if the Company ranks in the bottom quartile of the TSR Peer Group, the number of PSUs actually awarded will be reduced by 25%; if the Company ranks in the top quartile, the number of PSUs actually awarded will be increased by 25%, which, based on the maximum level, may result in a payment of up to 250% of target for the PSUs). The table below assumes application of the TSR modifier for PSU awards vesting on June 15, 2026, and assumes no adjustment with respect to awards vesting in 2027 and 2028.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05"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3" descr=""/>
                          <pic:cNvPicPr>
                            <a:picLocks noChangeAspect="1" noChangeArrowheads="1"/>
                          </pic:cNvPicPr>
                        </pic:nvPicPr>
                        <pic:blipFill>
                          <a:blip r:embed="rId104"/>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8" w:name="ny20072699x1_def14a_110-comp_pg8"/>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number of PSUs and the respective vesting dates for the PSUs that remained subject to performance criteria as of April 30, 2026 are as follows: </w:t>
      </w:r>
    </w:p>
    <w:tbl>
      <w:tblPr>
        <w:tblW w:w="7595" w:type="dxa"/>
        <w:jc w:val="left"/>
        <w:tblInd w:w="0" w:type="dxa"/>
        <w:tblLayout w:type="fixed"/>
        <w:tblCellMar>
          <w:top w:w="0" w:type="dxa"/>
          <w:left w:w="0" w:type="dxa"/>
          <w:bottom w:w="0" w:type="dxa"/>
          <w:right w:w="0" w:type="dxa"/>
        </w:tblCellMar>
      </w:tblPr>
      <w:tblGrid>
        <w:gridCol w:w="1760"/>
        <w:gridCol w:w="170"/>
        <w:gridCol w:w="170"/>
        <w:gridCol w:w="1190"/>
        <w:gridCol w:w="170"/>
        <w:gridCol w:w="170"/>
        <w:gridCol w:w="875"/>
        <w:gridCol w:w="170"/>
        <w:gridCol w:w="170"/>
        <w:gridCol w:w="1550"/>
        <w:gridCol w:w="170"/>
        <w:gridCol w:w="170"/>
        <w:gridCol w:w="860"/>
      </w:tblGrid>
      <w:tr>
        <w:trPr/>
        <w:tc>
          <w:tcPr>
            <w:tcW w:w="17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176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 Type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Performance Period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176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Darren M. Rebelez</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27,243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5/1/2023 - 4/30/2026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6/15/2026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27,243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5/1/2023 - 4/30/2026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6/15/2026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16,858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5/1/2024 - 4/30/2027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6/15/2027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16,858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5/1/2024 - 4/30/2027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6/15/2027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7,816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5/1/2025 - 4/30/2028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6/15/2028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7,816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5/1/2025 - 4/30/2028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6/15/2028 </w:t>
            </w:r>
          </w:p>
        </w:tc>
      </w:tr>
      <w:tr>
        <w:trPr/>
        <w:tc>
          <w:tcPr>
            <w:tcW w:w="17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5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color w:val="000000"/>
              </w:rPr>
            </w:pPr>
            <w:r>
              <w:rPr>
                <w:color w:val="000000"/>
              </w:rPr>
              <w:t> </w:t>
            </w:r>
          </w:p>
        </w:tc>
      </w:tr>
      <w:tr>
        <w:trPr/>
        <w:tc>
          <w:tcPr>
            <w:tcW w:w="176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Stephen P. Bramlage, Jr.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7,603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5/1/2023 - 4/30/2026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6/15/2026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7,603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5/1/2023 - 4/30/2026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6/15/2026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4,384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5/1/2024 - 4/30/2027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6/15/2027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4,384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5/1/2024 - 4/30/2027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6/15/2027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2,214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5/1/2025 - 4/30/2028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6/15/2028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2,214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5/1/2025 - 4/30/2028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6/15/2028 </w:t>
            </w:r>
          </w:p>
        </w:tc>
      </w:tr>
      <w:tr>
        <w:trPr/>
        <w:tc>
          <w:tcPr>
            <w:tcW w:w="17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5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030" w:type="dxa"/>
            <w:gridSpan w:val="2"/>
            <w:tcBorders/>
          </w:tcPr>
          <w:p>
            <w:pPr>
              <w:pStyle w:val="TableContents"/>
              <w:bidi w:val="0"/>
              <w:spacing w:before="0" w:after="283"/>
              <w:jc w:val="left"/>
              <w:rPr>
                <w:sz w:val="4"/>
                <w:szCs w:val="4"/>
              </w:rPr>
            </w:pPr>
            <w:r>
              <w:rPr>
                <w:sz w:val="4"/>
                <w:szCs w:val="4"/>
              </w:rPr>
            </w:r>
          </w:p>
        </w:tc>
      </w:tr>
      <w:tr>
        <w:trPr/>
        <w:tc>
          <w:tcPr>
            <w:tcW w:w="176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Ena Williams</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7,603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5/1/2023 - 4/30/2026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6/15/2026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7,603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5/1/2023 - 4/30/2026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6/15/2026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4,822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5/1/2024 - 4/30/2027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6/15/2027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4,822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5/1/2024 - 4/30/2027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6/15/2027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2,384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5/1/2025 - 4/30/2028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6/15/2028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2,384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5/1/2025 - 4/30/2028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6/15/2028 </w:t>
            </w:r>
          </w:p>
        </w:tc>
      </w:tr>
      <w:tr>
        <w:trPr/>
        <w:tc>
          <w:tcPr>
            <w:tcW w:w="17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5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030" w:type="dxa"/>
            <w:gridSpan w:val="2"/>
            <w:tcBorders/>
          </w:tcPr>
          <w:p>
            <w:pPr>
              <w:pStyle w:val="TableContents"/>
              <w:bidi w:val="0"/>
              <w:spacing w:before="0" w:after="283"/>
              <w:jc w:val="left"/>
              <w:rPr>
                <w:sz w:val="4"/>
                <w:szCs w:val="4"/>
              </w:rPr>
            </w:pPr>
            <w:r>
              <w:rPr>
                <w:sz w:val="4"/>
                <w:szCs w:val="4"/>
              </w:rPr>
            </w:r>
          </w:p>
        </w:tc>
      </w:tr>
      <w:tr>
        <w:trPr/>
        <w:tc>
          <w:tcPr>
            <w:tcW w:w="176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Thomas P. Brennan, Jr.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4,623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5/1/2023 - 4/30/2026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6/15/2026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4,623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5/1/2023 - 4/30/2026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6/15/2026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2,676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5/1/2024 - 4/30/2027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6/15/2027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2,676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5/1/2024 - 4/30/2027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6/15/2027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1,434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5/1/2025 - 4/30/2028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6/15/2028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1,434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5/1/2025 - 4/30/2028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6/15/2028 </w:t>
            </w:r>
          </w:p>
        </w:tc>
      </w:tr>
      <w:tr>
        <w:trPr/>
        <w:tc>
          <w:tcPr>
            <w:tcW w:w="17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5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030" w:type="dxa"/>
            <w:gridSpan w:val="2"/>
            <w:tcBorders/>
          </w:tcPr>
          <w:p>
            <w:pPr>
              <w:pStyle w:val="TableContents"/>
              <w:bidi w:val="0"/>
              <w:spacing w:before="0" w:after="283"/>
              <w:jc w:val="left"/>
              <w:rPr>
                <w:sz w:val="4"/>
                <w:szCs w:val="4"/>
              </w:rPr>
            </w:pPr>
            <w:r>
              <w:rPr>
                <w:sz w:val="4"/>
                <w:szCs w:val="4"/>
              </w:rPr>
            </w:r>
          </w:p>
        </w:tc>
      </w:tr>
      <w:tr>
        <w:trPr/>
        <w:tc>
          <w:tcPr>
            <w:tcW w:w="176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Chad M. Frazell</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3,868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5/1/2023 - 4/30/2026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6/15/2026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3,868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5/1/2023 - 4/30/2026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6/15/2026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2,204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5/1/2024 - 4/30/2027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6/15/2027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2,204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5/1/2024 - 4/30/2027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6/15/2027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(ROIC)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1,341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5/1/2025 - 4/30/2028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6/15/2028 </w:t>
            </w:r>
          </w:p>
        </w:tc>
      </w:tr>
      <w:tr>
        <w:trPr/>
        <w:tc>
          <w:tcPr>
            <w:tcW w:w="17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PSUs (EBITDA)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1,341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5/1/2025 - 4/30/2028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6/15/2028</w:t>
            </w:r>
          </w:p>
        </w:tc>
      </w:tr>
      <w:tr>
        <w:trPr/>
        <w:tc>
          <w:tcPr>
            <w:tcW w:w="17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06"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4" descr=""/>
                          <pic:cNvPicPr>
                            <a:picLocks noChangeAspect="1" noChangeArrowheads="1"/>
                          </pic:cNvPicPr>
                        </pic:nvPicPr>
                        <pic:blipFill>
                          <a:blip r:embed="rId105"/>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9" w:name="ny20072699x1_def14a_110-comp_pg9"/>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0" w:name="tOE"/>
      <w:bookmarkEnd w:id="120"/>
      <w:r>
        <w:rPr>
          <w:rFonts w:ascii="Times New Roman;Times;serif" w:hAnsi="Times New Roman;Times;serif"/>
          <w:b/>
          <w:color w:val="000000"/>
          <w:sz w:val="20"/>
          <w:u w:val="single"/>
        </w:rPr>
        <w:t>Option Exercises and Stock Vested in Fiscal 2026</w:t>
      </w:r>
      <w:r>
        <w:rPr>
          <w:rFonts w:ascii="Times New Roman;Times;serif" w:hAnsi="Times New Roman;Times;serif"/>
          <w:b/>
          <w:color w:val="000000"/>
          <w:sz w:val="20"/>
        </w:rPr>
        <w:t xml:space="preserve"> </w:t>
      </w:r>
    </w:p>
    <w:tbl>
      <w:tblPr>
        <w:tblW w:w="7565" w:type="dxa"/>
        <w:jc w:val="left"/>
        <w:tblInd w:w="0" w:type="dxa"/>
        <w:tblLayout w:type="fixed"/>
        <w:tblCellMar>
          <w:top w:w="0" w:type="dxa"/>
          <w:left w:w="0" w:type="dxa"/>
          <w:bottom w:w="0" w:type="dxa"/>
          <w:right w:w="0" w:type="dxa"/>
        </w:tblCellMar>
      </w:tblPr>
      <w:tblGrid>
        <w:gridCol w:w="2060"/>
        <w:gridCol w:w="170"/>
        <w:gridCol w:w="170"/>
        <w:gridCol w:w="980"/>
        <w:gridCol w:w="170"/>
        <w:gridCol w:w="170"/>
        <w:gridCol w:w="980"/>
        <w:gridCol w:w="170"/>
        <w:gridCol w:w="170"/>
        <w:gridCol w:w="1010"/>
        <w:gridCol w:w="170"/>
        <w:gridCol w:w="170"/>
        <w:gridCol w:w="1175"/>
      </w:tblGrid>
      <w:tr>
        <w:trPr/>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25" w:type="dxa"/>
            <w:gridSpan w:val="4"/>
            <w:tcBorders/>
            <w:vAlign w:val="center"/>
          </w:tcPr>
          <w:p>
            <w:pPr>
              <w:pStyle w:val="TableContents"/>
              <w:bidi w:val="0"/>
              <w:spacing w:before="0" w:after="0"/>
              <w:jc w:val="left"/>
              <w:rPr/>
            </w:pPr>
            <w:r>
              <w:rPr/>
              <w:t> </w:t>
            </w:r>
          </w:p>
        </w:tc>
      </w:tr>
      <w:tr>
        <w:trPr/>
        <w:tc>
          <w:tcPr>
            <w:tcW w:w="206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2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2060" w:type="dxa"/>
            <w:tcBorders/>
            <w:vAlign w:val="center"/>
          </w:tcPr>
          <w:p>
            <w:pPr>
              <w:pStyle w:val="TableContents"/>
              <w:bidi w:val="0"/>
              <w:spacing w:before="0" w:after="283"/>
              <w:ind w:left="0" w:right="0" w:hanging="0"/>
              <w:jc w:val="left"/>
              <w:rPr>
                <w:rFonts w:ascii="Times New Roman;Times;serif" w:hAnsi="Times New Roman;Times;serif"/>
                <w:b/>
                <w:color w:val="000000"/>
                <w:sz w:val="16"/>
                <w:bdr w:val="single" w:sz="8" w:space="2" w:color="000000"/>
              </w:rPr>
            </w:pPr>
            <w:r>
              <w:rPr>
                <w:rFonts w:ascii="Times New Roman;Times;serif" w:hAnsi="Times New Roman;Times;serif"/>
                <w:b/>
                <w:color w:val="000000"/>
                <w:sz w:val="16"/>
                <w:bdr w:val="single" w:sz="8" w:space="2" w:color="00000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Realized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Vesting (#)</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Realized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Vesting ($)</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Darren M. Rebelez</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2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63,125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$31,965,869 </w:t>
            </w:r>
          </w:p>
        </w:tc>
      </w:tr>
      <w:tr>
        <w:trPr/>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Stephen P. Bramlage, Jr.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16,742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8,477,981 </w:t>
            </w:r>
          </w:p>
        </w:tc>
      </w:tr>
      <w:tr>
        <w:trPr/>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Ena Williams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2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18,518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9,377,330 </w:t>
            </w:r>
          </w:p>
        </w:tc>
      </w:tr>
      <w:tr>
        <w:trPr/>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Thomas P. Brennan, Jr.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11,284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7,714,105 </w:t>
            </w:r>
          </w:p>
        </w:tc>
      </w:tr>
      <w:tr>
        <w:trPr/>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Chad M. Frazell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2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7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8,089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4,096,189</w:t>
            </w:r>
          </w:p>
        </w:tc>
      </w:tr>
      <w:tr>
        <w:trPr/>
        <w:tc>
          <w:tcPr>
            <w:tcW w:w="20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awards that vested in the 2026 fiscal year reflect (i) for all NEOs, the vesting on June 15, 2025 of the final one-third of the RSUs from their 2023 fiscal year LTIP awards of June 1, 2022 (for Mr. Rebelez, June 2, 2022), the second one-third of the RSUs from their 2024 fiscal year LTIP awards of May 31, 2023 (for Mr. Rebelez, June 1, 2023), and the first one-third of the RSUs from their 2025 fiscal year LTIP award of June 5, 2024 (for Mr. Rebelez, June 6, 2024), and (ii) for all NEOs, the vesting on June 15, 2025 of all of the PSUs from the fiscal year 2023 LTIP awards of June 1, 2022.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“value realized” on vesting for stock awards represents the number of units that vested multiplied by the closing price of Common Stock on the applicable vesting date and was determined without regard to any taxes or brokerage commissions. </w:t>
            </w:r>
          </w:p>
        </w:tc>
      </w:tr>
    </w:tbl>
    <w:p>
      <w:pPr>
        <w:pStyle w:val="TextBody"/>
        <w:bidi w:val="0"/>
        <w:spacing w:before="260" w:after="283"/>
        <w:jc w:val="center"/>
        <w:rPr>
          <w:rFonts w:ascii="Times New Roman;Times;serif" w:hAnsi="Times New Roman;Times;serif"/>
          <w:b/>
          <w:color w:val="000000"/>
          <w:sz w:val="20"/>
        </w:rPr>
      </w:pPr>
      <w:bookmarkStart w:id="121" w:name="tND"/>
      <w:bookmarkEnd w:id="121"/>
      <w:r>
        <w:rPr>
          <w:rFonts w:ascii="Times New Roman;Times;serif" w:hAnsi="Times New Roman;Times;serif"/>
          <w:b/>
          <w:color w:val="000000"/>
          <w:sz w:val="20"/>
          <w:u w:val="single"/>
        </w:rPr>
        <w:t>Nonqualified Deferred Compensation</w:t>
      </w:r>
      <w:r>
        <w:rPr>
          <w:rFonts w:ascii="Times New Roman;Times;serif" w:hAnsi="Times New Roman;Times;serif"/>
          <w:b/>
          <w:color w:val="000000"/>
          <w:sz w:val="20"/>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Under the Deferred Compensation Plan, certain employees, including the NEOs, may voluntarily defer up to 80% of their base salary and up to 80% of any incentive payments awarded under the AIP, which offers a deferral feature that can be used to supplement the limited deferrals permitted under our 401(k) Plan. Unlike the 401(k) Plan, deferrals under the Deferred Compensation Plan are not matched by the Company. Elections to defer eligible compensation are made by participants in December of each year for amounts to be deferred in the following calendar year, after annual incentive compensation determinations have been made.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Mr. Bramlage was the only NEO participant in the Deferred Compensation Plan in the 2026 fiscal year. Details regarding participation for the 2026 fiscal year are set forth in the following table: </w:t>
      </w:r>
    </w:p>
    <w:tbl>
      <w:tblPr>
        <w:tblW w:w="9515" w:type="dxa"/>
        <w:jc w:val="left"/>
        <w:tblInd w:w="0" w:type="dxa"/>
        <w:tblLayout w:type="fixed"/>
        <w:tblCellMar>
          <w:top w:w="0" w:type="dxa"/>
          <w:left w:w="0" w:type="dxa"/>
          <w:bottom w:w="0" w:type="dxa"/>
          <w:right w:w="0" w:type="dxa"/>
        </w:tblCellMar>
      </w:tblPr>
      <w:tblGrid>
        <w:gridCol w:w="2060"/>
        <w:gridCol w:w="170"/>
        <w:gridCol w:w="170"/>
        <w:gridCol w:w="1100"/>
        <w:gridCol w:w="170"/>
        <w:gridCol w:w="170"/>
        <w:gridCol w:w="1250"/>
        <w:gridCol w:w="170"/>
        <w:gridCol w:w="170"/>
        <w:gridCol w:w="920"/>
        <w:gridCol w:w="170"/>
        <w:gridCol w:w="170"/>
        <w:gridCol w:w="1235"/>
        <w:gridCol w:w="170"/>
        <w:gridCol w:w="170"/>
        <w:gridCol w:w="1250"/>
      </w:tblGrid>
      <w:tr>
        <w:trPr/>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r>
      <w:tr>
        <w:trPr/>
        <w:tc>
          <w:tcPr>
            <w:tcW w:w="206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Executive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Contributions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Last FY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Registrant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Contributions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Last FY ($)</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Last FY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Withdrawals/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Distributions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Balance 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Last FYE ($)</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Darren M. Rebelez</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41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Stephen P. Bramlage, Jr.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$38,654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$61,775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41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$405,957 </w:t>
            </w:r>
          </w:p>
        </w:tc>
      </w:tr>
      <w:tr>
        <w:trPr/>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Ena Williams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41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Thomas P. Brennan, Jr.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41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Chad M. Frazell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41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r>
        <w:trPr/>
        <w:tc>
          <w:tcPr>
            <w:tcW w:w="20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left"/>
              <w:rPr/>
            </w:pPr>
            <w:r>
              <w:rPr/>
              <w:t> </w:t>
            </w:r>
          </w:p>
        </w:tc>
      </w:tr>
    </w:tbl>
    <w:tbl>
      <w:tblPr>
        <w:tblW w:w="3910" w:type="dxa"/>
        <w:jc w:val="left"/>
        <w:tblInd w:w="0" w:type="dxa"/>
        <w:tblLayout w:type="fixed"/>
        <w:tblCellMar>
          <w:top w:w="0" w:type="dxa"/>
          <w:left w:w="0" w:type="dxa"/>
          <w:bottom w:w="0" w:type="dxa"/>
          <w:right w:w="0" w:type="dxa"/>
        </w:tblCellMar>
      </w:tblPr>
      <w:tblGrid>
        <w:gridCol w:w="260"/>
        <w:gridCol w:w="36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6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Company makes no contributions to deferrals.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amounts in this column attributable to NEO contributions to the Deferred Compensation Plan were reported in the Summary Compensation Table with respect to the relevant fiscal year as salary or non-equity incentive plan compensation, as applicable, if the NEO was a NEO with respect to the fiscal year in which the relevant amount was earned. No portion of any NEO’s balance in the Deferred Compensation Plan that is attributable to earnings was reported in the Summary Compensation Table because such earnings are not above-market or preferential. </w:t>
            </w:r>
          </w:p>
        </w:tc>
      </w:tr>
    </w:tbl>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 variety of mutual fund investment alternatives are available in which Deferred Compensation Plan participants can direct their notional investments. Each participant’s investment return is based on his or her investment selections. Deferrals are immediately vested. Distributions from the plan are allowed at various times, including termination of employment, death, specified date, disability, change of control and in the event of unforeseen emergency. The Deferred Compensation Plan is unfunded and is not subject to the fiduciary requirements of ERISA.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07"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5" descr=""/>
                          <pic:cNvPicPr>
                            <a:picLocks noChangeAspect="1" noChangeArrowheads="1"/>
                          </pic:cNvPicPr>
                        </pic:nvPicPr>
                        <pic:blipFill>
                          <a:blip r:embed="rId106"/>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2" w:name="ny20072699x1_def14a_110-comp_pg10"/>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u w:val="single"/>
        </w:rPr>
      </w:pPr>
      <w:bookmarkStart w:id="123" w:name="tPP"/>
      <w:bookmarkEnd w:id="123"/>
      <w:r>
        <w:rPr>
          <w:rFonts w:ascii="Times New Roman;Times;serif" w:hAnsi="Times New Roman;Times;serif"/>
          <w:b/>
          <w:color w:val="000000"/>
          <w:sz w:val="24"/>
          <w:u w:val="single"/>
        </w:rPr>
        <w:t xml:space="preserve">POTENTIAL PAYMENTS UPON TERMINATION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u w:val="single"/>
        </w:rPr>
        <w:t>OR CHANGE OF CONTROL</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following tables set forth payments that could be paid to the NEOs upon a termination of employment for certain reasons or in the event of a change of control. The amounts assume that the event occurred on or was effective as of April 30, 2026, and thus include amounts earned through such time and are estimates of the amounts which would be paid upon such event. The actual amounts to be paid can only be determined at the time of actual termination from the Company or the consummation of a change of control.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 addition to the amounts shown or described below, upon termination for any reason, each NEO will be entitled to his or her (i) vested benefits under the Deferred Compensation Plan (as set forth above under the heading “Nonqualified Deferred Compensation”), (ii) vested account balance under the 401(k) Plan, and (iii) salary through the date of termination. </w:t>
      </w:r>
    </w:p>
    <w:tbl>
      <w:tblPr>
        <w:tblW w:w="10820" w:type="dxa"/>
        <w:jc w:val="left"/>
        <w:tblInd w:w="0" w:type="dxa"/>
        <w:tblLayout w:type="fixed"/>
        <w:tblCellMar>
          <w:top w:w="0" w:type="dxa"/>
          <w:left w:w="0" w:type="dxa"/>
          <w:bottom w:w="0" w:type="dxa"/>
          <w:right w:w="0" w:type="dxa"/>
        </w:tblCellMar>
      </w:tblPr>
      <w:tblGrid>
        <w:gridCol w:w="1160"/>
        <w:gridCol w:w="170"/>
        <w:gridCol w:w="170"/>
        <w:gridCol w:w="860"/>
        <w:gridCol w:w="170"/>
        <w:gridCol w:w="170"/>
        <w:gridCol w:w="785"/>
        <w:gridCol w:w="170"/>
        <w:gridCol w:w="170"/>
        <w:gridCol w:w="815"/>
        <w:gridCol w:w="170"/>
        <w:gridCol w:w="170"/>
        <w:gridCol w:w="815"/>
        <w:gridCol w:w="170"/>
        <w:gridCol w:w="170"/>
        <w:gridCol w:w="905"/>
        <w:gridCol w:w="170"/>
        <w:gridCol w:w="170"/>
        <w:gridCol w:w="905"/>
        <w:gridCol w:w="170"/>
        <w:gridCol w:w="170"/>
        <w:gridCol w:w="905"/>
        <w:gridCol w:w="170"/>
        <w:gridCol w:w="170"/>
        <w:gridCol w:w="950"/>
      </w:tblGrid>
      <w:tr>
        <w:trPr/>
        <w:tc>
          <w:tcPr>
            <w:tcW w:w="10820" w:type="dxa"/>
            <w:gridSpan w:val="25"/>
            <w:tcBorders/>
            <w:vAlign w:val="center"/>
          </w:tcPr>
          <w:p>
            <w:pPr>
              <w:pStyle w:val="TableContents"/>
              <w:bidi w:val="0"/>
              <w:spacing w:before="0" w:after="0"/>
              <w:jc w:val="left"/>
              <w:rPr/>
            </w:pPr>
            <w:r>
              <w:rPr/>
              <w:t> </w:t>
            </w:r>
          </w:p>
        </w:tc>
      </w:tr>
      <w:tr>
        <w:trPr/>
        <w:tc>
          <w:tcPr>
            <w:tcW w:w="10820" w:type="dxa"/>
            <w:gridSpan w:val="25"/>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Darren M. Rebelez</w:t>
            </w:r>
          </w:p>
        </w:tc>
      </w:tr>
      <w:tr>
        <w:trPr/>
        <w:tc>
          <w:tcPr>
            <w:tcW w:w="116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gridSpan w:val="4"/>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Voluntary Termination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05" w:type="dxa"/>
            <w:gridSpan w:val="13"/>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Involuntary Termination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 Termination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Executive Benefits and</w:t>
            </w:r>
          </w:p>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Payments Upon</w:t>
            </w:r>
          </w:p>
          <w:p>
            <w:pPr>
              <w:pStyle w:val="TableContents"/>
              <w:bidi w:val="0"/>
              <w:spacing w:before="0" w:after="283"/>
              <w:ind w:left="0" w:right="0" w:hanging="0"/>
              <w:jc w:val="left"/>
              <w:rPr>
                <w:rFonts w:ascii="Times New Roman;Times;serif" w:hAnsi="Times New Roman;Times;serif"/>
                <w:b/>
                <w:color w:val="000000"/>
                <w:sz w:val="15"/>
                <w:u w:val="single"/>
              </w:rPr>
            </w:pPr>
            <w:r>
              <w:rPr>
                <w:rFonts w:ascii="Times New Roman;Times;serif" w:hAnsi="Times New Roman;Times;serif"/>
                <w:b/>
                <w:color w:val="000000"/>
                <w:sz w:val="15"/>
                <w:u w:val="single"/>
              </w:rPr>
              <w:t>Termination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Voluntary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Resignation</w:t>
            </w:r>
            <w:r>
              <w:rPr>
                <w:rFonts w:ascii="Times New Roman;Times;serif" w:hAnsi="Times New Roman;Times;serif"/>
                <w:b/>
                <w:color w:val="000000"/>
                <w:position w:val="5"/>
                <w:sz w:val="12"/>
                <w:sz w:val="15"/>
              </w:rPr>
              <w:t>(1)</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Retirement</w:t>
            </w:r>
            <w:r>
              <w:rPr>
                <w:rFonts w:ascii="Times New Roman;Times;serif" w:hAnsi="Times New Roman;Times;serif"/>
                <w:b/>
                <w:color w:val="000000"/>
                <w:position w:val="5"/>
                <w:sz w:val="12"/>
                <w:sz w:val="15"/>
              </w:rPr>
              <w:t>(2)</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Death</w:t>
            </w:r>
            <w:r>
              <w:rPr>
                <w:rFonts w:ascii="Times New Roman;Times;serif" w:hAnsi="Times New Roman;Times;serif"/>
                <w:b/>
                <w:color w:val="000000"/>
                <w:position w:val="5"/>
                <w:sz w:val="12"/>
                <w:sz w:val="15"/>
              </w:rPr>
              <w:t>(3)</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Disability</w:t>
            </w:r>
            <w:r>
              <w:rPr>
                <w:rFonts w:ascii="Times New Roman;Times;serif" w:hAnsi="Times New Roman;Times;serif"/>
                <w:b/>
                <w:color w:val="000000"/>
                <w:position w:val="5"/>
                <w:sz w:val="12"/>
                <w:sz w:val="15"/>
              </w:rPr>
              <w:t>(4)</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Involuntary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For Cause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(5)</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Involuntary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Not for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Cause/Good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Reason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Change in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Control (Not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for Cause/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Good Reason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(7)(8)</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Change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Control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(Without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(8)</w:t>
            </w:r>
            <w:r>
              <w:rPr>
                <w:rFonts w:ascii="Times New Roman;Times;serif" w:hAnsi="Times New Roman;Times;serif"/>
                <w:b/>
                <w:color w:val="000000"/>
                <w:sz w:val="15"/>
              </w:rPr>
              <w:t xml:space="preserve">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Severance Pay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2,700,000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11,525,625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75"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Value of Long-Term Incentives</w:t>
            </w:r>
            <w:r>
              <w:rPr>
                <w:rFonts w:ascii="Times New Roman;Times;serif" w:hAnsi="Times New Roman;Times;serif"/>
                <w:color w:val="000000"/>
                <w:position w:val="5"/>
                <w:sz w:val="12"/>
                <w:sz w:val="15"/>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$40,797,824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$40,797,824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91"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5,141,749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76" w:right="0" w:hanging="0"/>
              <w:jc w:val="left"/>
              <w:rPr>
                <w:rFonts w:ascii="Times New Roman;Times;serif" w:hAnsi="Times New Roman;Times;serif"/>
                <w:color w:val="000000"/>
                <w:sz w:val="15"/>
              </w:rPr>
            </w:pPr>
            <w:r>
              <w:rPr>
                <w:rFonts w:ascii="Times New Roman;Times;serif" w:hAnsi="Times New Roman;Times;serif"/>
                <w:color w:val="000000"/>
                <w:sz w:val="15"/>
              </w:rPr>
              <w:t>$53,895,658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75"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Annual Incentive Program</w:t>
            </w:r>
            <w:r>
              <w:rPr>
                <w:rFonts w:ascii="Times New Roman;Times;serif" w:hAnsi="Times New Roman;Times;serif"/>
                <w:color w:val="000000"/>
                <w:position w:val="5"/>
                <w:sz w:val="12"/>
                <w:sz w:val="15"/>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15"/>
              </w:rPr>
            </w:pPr>
            <w:r>
              <w:rPr>
                <w:rFonts w:ascii="Times New Roman;Times;serif" w:hAnsi="Times New Roman;Times;serif"/>
                <w:color w:val="000000"/>
                <w:sz w:val="15"/>
              </w:rPr>
              <w:t>$3,260,250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$3,260,250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3,260,250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3,260,250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5"/>
              </w:rPr>
            </w:pPr>
            <w:r>
              <w:rPr>
                <w:rFonts w:ascii="Times New Roman;Times;serif" w:hAnsi="Times New Roman;Times;serif"/>
                <w:color w:val="000000"/>
                <w:sz w:val="15"/>
              </w:rPr>
              <w:t>$3,260,250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3,260,250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3,260,250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75"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$3,260,250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Post-Employment Health Care</w:t>
            </w:r>
            <w:r>
              <w:rPr>
                <w:rFonts w:ascii="Times New Roman;Times;serif" w:hAnsi="Times New Roman;Times;serif"/>
                <w:color w:val="000000"/>
                <w:position w:val="5"/>
                <w:sz w:val="12"/>
                <w:sz w:val="15"/>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91"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35,036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7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43,795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75"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Life Insurance Proceeds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1,000,000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75"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Disability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91"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7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75"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06" w:right="0" w:hanging="0"/>
              <w:jc w:val="left"/>
              <w:rPr>
                <w:rFonts w:ascii="Times New Roman;Times;serif" w:hAnsi="Times New Roman;Times;serif"/>
                <w:b/>
                <w:color w:val="000000"/>
                <w:sz w:val="15"/>
              </w:rPr>
            </w:pPr>
            <w:r>
              <w:rPr>
                <w:rFonts w:ascii="Times New Roman;Times;serif" w:hAnsi="Times New Roman;Times;serif"/>
                <w:b/>
                <w:color w:val="000000"/>
                <w:sz w:val="15"/>
              </w:rPr>
              <w:t>$3,260,250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8" w:right="0" w:hanging="0"/>
              <w:jc w:val="left"/>
              <w:rPr>
                <w:rFonts w:ascii="Times New Roman;Times;serif" w:hAnsi="Times New Roman;Times;serif"/>
                <w:b/>
                <w:color w:val="000000"/>
                <w:sz w:val="15"/>
              </w:rPr>
            </w:pPr>
            <w:r>
              <w:rPr>
                <w:rFonts w:ascii="Times New Roman;Times;serif" w:hAnsi="Times New Roman;Times;serif"/>
                <w:b/>
                <w:color w:val="000000"/>
                <w:sz w:val="15"/>
              </w:rPr>
              <w:t>$3,260,250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$45,058,074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$45,058,074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rFonts w:ascii="Times New Roman;Times;serif" w:hAnsi="Times New Roman;Times;serif"/>
                <w:b/>
                <w:color w:val="000000"/>
                <w:sz w:val="15"/>
              </w:rPr>
            </w:pPr>
            <w:r>
              <w:rPr>
                <w:rFonts w:ascii="Times New Roman;Times;serif" w:hAnsi="Times New Roman;Times;serif"/>
                <w:b/>
                <w:color w:val="000000"/>
                <w:sz w:val="15"/>
              </w:rPr>
              <w:t>$3,260,250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91" w:right="0" w:hanging="0"/>
              <w:jc w:val="left"/>
              <w:rPr>
                <w:rFonts w:ascii="Times New Roman;Times;serif" w:hAnsi="Times New Roman;Times;serif"/>
                <w:b/>
                <w:color w:val="000000"/>
                <w:sz w:val="15"/>
              </w:rPr>
            </w:pPr>
            <w:r>
              <w:rPr>
                <w:rFonts w:ascii="Times New Roman;Times;serif" w:hAnsi="Times New Roman;Times;serif"/>
                <w:b/>
                <w:color w:val="000000"/>
                <w:sz w:val="15"/>
              </w:rPr>
              <w:t>$11,137,035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76" w:right="0" w:hanging="0"/>
              <w:jc w:val="left"/>
              <w:rPr>
                <w:rFonts w:ascii="Times New Roman;Times;serif" w:hAnsi="Times New Roman;Times;serif"/>
                <w:b/>
                <w:color w:val="000000"/>
                <w:sz w:val="15"/>
              </w:rPr>
            </w:pPr>
            <w:r>
              <w:rPr>
                <w:rFonts w:ascii="Times New Roman;Times;serif" w:hAnsi="Times New Roman;Times;serif"/>
                <w:b/>
                <w:color w:val="000000"/>
                <w:sz w:val="15"/>
              </w:rPr>
              <w:t>$68,815,328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75" w:right="0" w:hanging="0"/>
              <w:jc w:val="left"/>
              <w:rPr>
                <w:rFonts w:ascii="Times New Roman;Times;serif" w:hAnsi="Times New Roman;Times;serif"/>
                <w:b/>
                <w:color w:val="000000"/>
                <w:sz w:val="15"/>
              </w:rPr>
            </w:pPr>
            <w:r>
              <w:rPr>
                <w:rFonts w:ascii="Times New Roman;Times;serif" w:hAnsi="Times New Roman;Times;serif"/>
                <w:b/>
                <w:color w:val="000000"/>
                <w:sz w:val="15"/>
              </w:rPr>
              <w:t>$3,260,250</w:t>
            </w:r>
          </w:p>
        </w:tc>
      </w:tr>
      <w:tr>
        <w:trPr/>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r>
    </w:tbl>
    <w:tbl>
      <w:tblPr>
        <w:tblW w:w="10820" w:type="dxa"/>
        <w:jc w:val="left"/>
        <w:tblInd w:w="0" w:type="dxa"/>
        <w:tblLayout w:type="fixed"/>
        <w:tblCellMar>
          <w:top w:w="0" w:type="dxa"/>
          <w:left w:w="0" w:type="dxa"/>
          <w:bottom w:w="0" w:type="dxa"/>
          <w:right w:w="0" w:type="dxa"/>
        </w:tblCellMar>
      </w:tblPr>
      <w:tblGrid>
        <w:gridCol w:w="1160"/>
        <w:gridCol w:w="170"/>
        <w:gridCol w:w="170"/>
        <w:gridCol w:w="860"/>
        <w:gridCol w:w="170"/>
        <w:gridCol w:w="170"/>
        <w:gridCol w:w="785"/>
        <w:gridCol w:w="170"/>
        <w:gridCol w:w="170"/>
        <w:gridCol w:w="815"/>
        <w:gridCol w:w="170"/>
        <w:gridCol w:w="170"/>
        <w:gridCol w:w="815"/>
        <w:gridCol w:w="170"/>
        <w:gridCol w:w="170"/>
        <w:gridCol w:w="905"/>
        <w:gridCol w:w="170"/>
        <w:gridCol w:w="170"/>
        <w:gridCol w:w="905"/>
        <w:gridCol w:w="170"/>
        <w:gridCol w:w="170"/>
        <w:gridCol w:w="905"/>
        <w:gridCol w:w="170"/>
        <w:gridCol w:w="170"/>
        <w:gridCol w:w="950"/>
      </w:tblGrid>
      <w:tr>
        <w:trPr/>
        <w:tc>
          <w:tcPr>
            <w:tcW w:w="10820" w:type="dxa"/>
            <w:gridSpan w:val="25"/>
            <w:tcBorders/>
            <w:vAlign w:val="center"/>
          </w:tcPr>
          <w:p>
            <w:pPr>
              <w:pStyle w:val="TableContents"/>
              <w:bidi w:val="0"/>
              <w:spacing w:before="0" w:after="0"/>
              <w:jc w:val="left"/>
              <w:rPr/>
            </w:pPr>
            <w:r>
              <w:rPr/>
              <w:t> </w:t>
            </w:r>
          </w:p>
        </w:tc>
      </w:tr>
      <w:tr>
        <w:trPr/>
        <w:tc>
          <w:tcPr>
            <w:tcW w:w="10820" w:type="dxa"/>
            <w:gridSpan w:val="25"/>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Stephen P. Bramlage, Jr. </w:t>
            </w:r>
          </w:p>
        </w:tc>
      </w:tr>
      <w:tr>
        <w:trPr/>
        <w:tc>
          <w:tcPr>
            <w:tcW w:w="116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gridSpan w:val="4"/>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Voluntary Termination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05" w:type="dxa"/>
            <w:gridSpan w:val="13"/>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Involuntary Termination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 Termination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Executive Benefits and</w:t>
            </w:r>
          </w:p>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Payments Upon</w:t>
            </w:r>
          </w:p>
          <w:p>
            <w:pPr>
              <w:pStyle w:val="TableContents"/>
              <w:bidi w:val="0"/>
              <w:spacing w:before="0" w:after="283"/>
              <w:ind w:left="0" w:right="0" w:hanging="0"/>
              <w:jc w:val="left"/>
              <w:rPr>
                <w:rFonts w:ascii="Times New Roman;Times;serif" w:hAnsi="Times New Roman;Times;serif"/>
                <w:b/>
                <w:color w:val="000000"/>
                <w:sz w:val="15"/>
                <w:u w:val="single"/>
              </w:rPr>
            </w:pPr>
            <w:r>
              <w:rPr>
                <w:rFonts w:ascii="Times New Roman;Times;serif" w:hAnsi="Times New Roman;Times;serif"/>
                <w:b/>
                <w:color w:val="000000"/>
                <w:sz w:val="15"/>
                <w:u w:val="single"/>
              </w:rPr>
              <w:t>Termination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Voluntary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Resignation</w:t>
            </w:r>
            <w:r>
              <w:rPr>
                <w:rFonts w:ascii="Times New Roman;Times;serif" w:hAnsi="Times New Roman;Times;serif"/>
                <w:b/>
                <w:color w:val="000000"/>
                <w:position w:val="5"/>
                <w:sz w:val="12"/>
                <w:sz w:val="15"/>
              </w:rPr>
              <w:t>(1)</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Retirement</w:t>
            </w:r>
            <w:r>
              <w:rPr>
                <w:rFonts w:ascii="Times New Roman;Times;serif" w:hAnsi="Times New Roman;Times;serif"/>
                <w:b/>
                <w:color w:val="000000"/>
                <w:position w:val="5"/>
                <w:sz w:val="12"/>
                <w:sz w:val="15"/>
              </w:rPr>
              <w:t>(2)</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Death</w:t>
            </w:r>
            <w:r>
              <w:rPr>
                <w:rFonts w:ascii="Times New Roman;Times;serif" w:hAnsi="Times New Roman;Times;serif"/>
                <w:b/>
                <w:color w:val="000000"/>
                <w:position w:val="5"/>
                <w:sz w:val="12"/>
                <w:sz w:val="15"/>
              </w:rPr>
              <w:t>(3)</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Disability</w:t>
            </w:r>
            <w:r>
              <w:rPr>
                <w:rFonts w:ascii="Times New Roman;Times;serif" w:hAnsi="Times New Roman;Times;serif"/>
                <w:b/>
                <w:color w:val="000000"/>
                <w:position w:val="5"/>
                <w:sz w:val="12"/>
                <w:sz w:val="15"/>
              </w:rPr>
              <w:t>(4)</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Involuntary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For Cause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(5)</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Involuntary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Not for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Cause/Good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Reason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Change in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Control (Not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for Cause/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Good Reason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(7)(8)</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Change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Control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(Without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(8)</w:t>
            </w:r>
            <w:r>
              <w:rPr>
                <w:rFonts w:ascii="Times New Roman;Times;serif" w:hAnsi="Times New Roman;Times;serif"/>
                <w:b/>
                <w:color w:val="000000"/>
                <w:sz w:val="15"/>
              </w:rPr>
              <w:t xml:space="preserve">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Severance Pay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5"/>
              </w:rPr>
            </w:pPr>
            <w:r>
              <w:rPr>
                <w:rFonts w:ascii="Times New Roman;Times;serif" w:hAnsi="Times New Roman;Times;serif"/>
                <w:color w:val="000000"/>
                <w:sz w:val="15"/>
              </w:rPr>
              <w:t>$1,215,000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4,228,200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75" w:right="0" w:hanging="0"/>
              <w:jc w:val="left"/>
              <w:rPr>
                <w:color w:val="000000"/>
              </w:rPr>
            </w:pPr>
            <w:r>
              <w:rPr>
                <w:color w:val="000000"/>
              </w:rPr>
              <w:t xml:space="preserve">—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Value of Long-Term Incentives</w:t>
            </w:r>
            <w:r>
              <w:rPr>
                <w:rFonts w:ascii="Times New Roman;Times;serif" w:hAnsi="Times New Roman;Times;serif"/>
                <w:color w:val="000000"/>
                <w:position w:val="5"/>
                <w:sz w:val="12"/>
                <w:sz w:val="15"/>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11,186,721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11,186,721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76" w:right="0" w:hanging="0"/>
              <w:jc w:val="left"/>
              <w:rPr>
                <w:rFonts w:ascii="Times New Roman;Times;serif" w:hAnsi="Times New Roman;Times;serif"/>
                <w:color w:val="000000"/>
                <w:sz w:val="15"/>
              </w:rPr>
            </w:pPr>
            <w:r>
              <w:rPr>
                <w:rFonts w:ascii="Times New Roman;Times;serif" w:hAnsi="Times New Roman;Times;serif"/>
                <w:color w:val="000000"/>
                <w:sz w:val="15"/>
              </w:rPr>
              <w:t>$14,815,143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75" w:right="0" w:hanging="0"/>
              <w:jc w:val="left"/>
              <w:rPr>
                <w:color w:val="000000"/>
              </w:rPr>
            </w:pPr>
            <w:r>
              <w:rPr>
                <w:color w:val="000000"/>
              </w:rPr>
              <w:t xml:space="preserve">—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Annual Incentive Program</w:t>
            </w:r>
            <w:r>
              <w:rPr>
                <w:rFonts w:ascii="Times New Roman;Times;serif" w:hAnsi="Times New Roman;Times;serif"/>
                <w:color w:val="000000"/>
                <w:position w:val="5"/>
                <w:sz w:val="12"/>
                <w:sz w:val="15"/>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15"/>
              </w:rPr>
            </w:pPr>
            <w:r>
              <w:rPr>
                <w:rFonts w:ascii="Times New Roman;Times;serif" w:hAnsi="Times New Roman;Times;serif"/>
                <w:color w:val="000000"/>
                <w:sz w:val="15"/>
              </w:rPr>
              <w:t>$1,304,100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$1,304,100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1,304,100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1,304,100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5"/>
              </w:rPr>
            </w:pPr>
            <w:r>
              <w:rPr>
                <w:rFonts w:ascii="Times New Roman;Times;serif" w:hAnsi="Times New Roman;Times;serif"/>
                <w:color w:val="000000"/>
                <w:sz w:val="15"/>
              </w:rPr>
              <w:t>$1,304,100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5"/>
              </w:rPr>
            </w:pPr>
            <w:r>
              <w:rPr>
                <w:rFonts w:ascii="Times New Roman;Times;serif" w:hAnsi="Times New Roman;Times;serif"/>
                <w:color w:val="000000"/>
                <w:sz w:val="15"/>
              </w:rPr>
              <w:t>$1,304,100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1,304,100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75"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$1,304,100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Post-Employment Health Care</w:t>
            </w:r>
            <w:r>
              <w:rPr>
                <w:rFonts w:ascii="Times New Roman;Times;serif" w:hAnsi="Times New Roman;Times;serif"/>
                <w:color w:val="000000"/>
                <w:position w:val="5"/>
                <w:sz w:val="12"/>
                <w:sz w:val="15"/>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35,434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7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47,245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75" w:right="0" w:hanging="0"/>
              <w:jc w:val="left"/>
              <w:rPr>
                <w:color w:val="000000"/>
              </w:rPr>
            </w:pPr>
            <w:r>
              <w:rPr>
                <w:color w:val="000000"/>
              </w:rPr>
              <w:t xml:space="preserve">—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Disability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7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75" w:right="0" w:hanging="0"/>
              <w:jc w:val="left"/>
              <w:rPr>
                <w:color w:val="000000"/>
              </w:rPr>
            </w:pPr>
            <w:r>
              <w:rPr>
                <w:color w:val="000000"/>
              </w:rPr>
              <w:t xml:space="preserve">—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rFonts w:ascii="Times New Roman;Times;serif" w:hAnsi="Times New Roman;Times;serif"/>
                <w:b/>
                <w:color w:val="000000"/>
                <w:sz w:val="15"/>
              </w:rPr>
            </w:pPr>
            <w:r>
              <w:rPr>
                <w:rFonts w:ascii="Times New Roman;Times;serif" w:hAnsi="Times New Roman;Times;serif"/>
                <w:b/>
                <w:color w:val="000000"/>
                <w:sz w:val="15"/>
              </w:rPr>
              <w:t>$1,304,100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8" w:right="0" w:hanging="0"/>
              <w:jc w:val="left"/>
              <w:rPr>
                <w:rFonts w:ascii="Times New Roman;Times;serif" w:hAnsi="Times New Roman;Times;serif"/>
                <w:b/>
                <w:color w:val="000000"/>
                <w:sz w:val="15"/>
              </w:rPr>
            </w:pPr>
            <w:r>
              <w:rPr>
                <w:rFonts w:ascii="Times New Roman;Times;serif" w:hAnsi="Times New Roman;Times;serif"/>
                <w:b/>
                <w:color w:val="000000"/>
                <w:sz w:val="15"/>
              </w:rPr>
              <w:t>$1,304,100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$12,490,821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$12,490,821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rFonts w:ascii="Times New Roman;Times;serif" w:hAnsi="Times New Roman;Times;serif"/>
                <w:b/>
                <w:color w:val="000000"/>
                <w:sz w:val="15"/>
              </w:rPr>
            </w:pPr>
            <w:r>
              <w:rPr>
                <w:rFonts w:ascii="Times New Roman;Times;serif" w:hAnsi="Times New Roman;Times;serif"/>
                <w:b/>
                <w:color w:val="000000"/>
                <w:sz w:val="15"/>
              </w:rPr>
              <w:t>$1,304,100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rFonts w:ascii="Times New Roman;Times;serif" w:hAnsi="Times New Roman;Times;serif"/>
                <w:b/>
                <w:color w:val="000000"/>
                <w:sz w:val="15"/>
              </w:rPr>
            </w:pPr>
            <w:r>
              <w:rPr>
                <w:rFonts w:ascii="Times New Roman;Times;serif" w:hAnsi="Times New Roman;Times;serif"/>
                <w:b/>
                <w:color w:val="000000"/>
                <w:sz w:val="15"/>
              </w:rPr>
              <w:t>$2,554,534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76" w:right="0" w:hanging="0"/>
              <w:jc w:val="left"/>
              <w:rPr>
                <w:rFonts w:ascii="Times New Roman;Times;serif" w:hAnsi="Times New Roman;Times;serif"/>
                <w:b/>
                <w:color w:val="000000"/>
                <w:sz w:val="15"/>
              </w:rPr>
            </w:pPr>
            <w:r>
              <w:rPr>
                <w:rFonts w:ascii="Times New Roman;Times;serif" w:hAnsi="Times New Roman;Times;serif"/>
                <w:b/>
                <w:color w:val="000000"/>
                <w:sz w:val="15"/>
              </w:rPr>
              <w:t>$20,394,688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75" w:right="0" w:hanging="0"/>
              <w:jc w:val="left"/>
              <w:rPr>
                <w:rFonts w:ascii="Times New Roman;Times;serif" w:hAnsi="Times New Roman;Times;serif"/>
                <w:b/>
                <w:color w:val="000000"/>
                <w:sz w:val="15"/>
              </w:rPr>
            </w:pPr>
            <w:r>
              <w:rPr>
                <w:rFonts w:ascii="Times New Roman;Times;serif" w:hAnsi="Times New Roman;Times;serif"/>
                <w:b/>
                <w:color w:val="000000"/>
                <w:sz w:val="15"/>
              </w:rPr>
              <w:t>$1,304,100</w:t>
            </w:r>
          </w:p>
        </w:tc>
      </w:tr>
      <w:tr>
        <w:trPr/>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tbl>
      <w:tblPr>
        <w:tblW w:w="10820" w:type="dxa"/>
        <w:jc w:val="left"/>
        <w:tblInd w:w="0" w:type="dxa"/>
        <w:tblLayout w:type="fixed"/>
        <w:tblCellMar>
          <w:top w:w="0" w:type="dxa"/>
          <w:left w:w="0" w:type="dxa"/>
          <w:bottom w:w="0" w:type="dxa"/>
          <w:right w:w="0" w:type="dxa"/>
        </w:tblCellMar>
      </w:tblPr>
      <w:tblGrid>
        <w:gridCol w:w="1160"/>
        <w:gridCol w:w="170"/>
        <w:gridCol w:w="170"/>
        <w:gridCol w:w="860"/>
        <w:gridCol w:w="170"/>
        <w:gridCol w:w="170"/>
        <w:gridCol w:w="785"/>
        <w:gridCol w:w="170"/>
        <w:gridCol w:w="170"/>
        <w:gridCol w:w="815"/>
        <w:gridCol w:w="170"/>
        <w:gridCol w:w="170"/>
        <w:gridCol w:w="815"/>
        <w:gridCol w:w="170"/>
        <w:gridCol w:w="170"/>
        <w:gridCol w:w="905"/>
        <w:gridCol w:w="170"/>
        <w:gridCol w:w="170"/>
        <w:gridCol w:w="905"/>
        <w:gridCol w:w="170"/>
        <w:gridCol w:w="170"/>
        <w:gridCol w:w="905"/>
        <w:gridCol w:w="170"/>
        <w:gridCol w:w="170"/>
        <w:gridCol w:w="950"/>
      </w:tblGrid>
      <w:tr>
        <w:trPr/>
        <w:tc>
          <w:tcPr>
            <w:tcW w:w="10820" w:type="dxa"/>
            <w:gridSpan w:val="25"/>
            <w:tcBorders/>
            <w:vAlign w:val="center"/>
          </w:tcPr>
          <w:p>
            <w:pPr>
              <w:pStyle w:val="TableContents"/>
              <w:bidi w:val="0"/>
              <w:spacing w:before="0" w:after="0"/>
              <w:jc w:val="left"/>
              <w:rPr/>
            </w:pPr>
            <w:r>
              <w:rPr/>
              <w:t> </w:t>
            </w:r>
          </w:p>
        </w:tc>
      </w:tr>
      <w:tr>
        <w:trPr/>
        <w:tc>
          <w:tcPr>
            <w:tcW w:w="10820" w:type="dxa"/>
            <w:gridSpan w:val="25"/>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Ena Williams </w:t>
            </w:r>
          </w:p>
        </w:tc>
      </w:tr>
      <w:tr>
        <w:trPr/>
        <w:tc>
          <w:tcPr>
            <w:tcW w:w="116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gridSpan w:val="4"/>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Voluntary Termination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05" w:type="dxa"/>
            <w:gridSpan w:val="13"/>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Involuntary Termination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 Termination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Executive Benefits and</w:t>
            </w:r>
          </w:p>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Payments Upon</w:t>
            </w:r>
          </w:p>
          <w:p>
            <w:pPr>
              <w:pStyle w:val="TableContents"/>
              <w:bidi w:val="0"/>
              <w:spacing w:before="0" w:after="283"/>
              <w:ind w:left="0" w:right="0" w:hanging="0"/>
              <w:jc w:val="left"/>
              <w:rPr>
                <w:rFonts w:ascii="Times New Roman;Times;serif" w:hAnsi="Times New Roman;Times;serif"/>
                <w:b/>
                <w:color w:val="000000"/>
                <w:sz w:val="15"/>
                <w:u w:val="single"/>
              </w:rPr>
            </w:pPr>
            <w:r>
              <w:rPr>
                <w:rFonts w:ascii="Times New Roman;Times;serif" w:hAnsi="Times New Roman;Times;serif"/>
                <w:b/>
                <w:color w:val="000000"/>
                <w:sz w:val="15"/>
                <w:u w:val="single"/>
              </w:rPr>
              <w:t>Termination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Voluntary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Resignation</w:t>
            </w:r>
            <w:r>
              <w:rPr>
                <w:rFonts w:ascii="Times New Roman;Times;serif" w:hAnsi="Times New Roman;Times;serif"/>
                <w:b/>
                <w:color w:val="000000"/>
                <w:position w:val="5"/>
                <w:sz w:val="12"/>
                <w:sz w:val="15"/>
              </w:rPr>
              <w:t>(1)</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Retirement</w:t>
            </w:r>
            <w:r>
              <w:rPr>
                <w:rFonts w:ascii="Times New Roman;Times;serif" w:hAnsi="Times New Roman;Times;serif"/>
                <w:b/>
                <w:color w:val="000000"/>
                <w:position w:val="5"/>
                <w:sz w:val="12"/>
                <w:sz w:val="15"/>
              </w:rPr>
              <w:t>(2)</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Death</w:t>
            </w:r>
            <w:r>
              <w:rPr>
                <w:rFonts w:ascii="Times New Roman;Times;serif" w:hAnsi="Times New Roman;Times;serif"/>
                <w:b/>
                <w:color w:val="000000"/>
                <w:position w:val="5"/>
                <w:sz w:val="12"/>
                <w:sz w:val="15"/>
              </w:rPr>
              <w:t>(3)</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Disability</w:t>
            </w:r>
            <w:r>
              <w:rPr>
                <w:rFonts w:ascii="Times New Roman;Times;serif" w:hAnsi="Times New Roman;Times;serif"/>
                <w:b/>
                <w:color w:val="000000"/>
                <w:position w:val="5"/>
                <w:sz w:val="12"/>
                <w:sz w:val="15"/>
              </w:rPr>
              <w:t>(4)</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Involuntary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For Cause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(5)</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Involuntary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Not for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Cause/Good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Reason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Change in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Control (Not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for Cause/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Good Reason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(7)(8)</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Change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Control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(Without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(8)</w:t>
            </w:r>
            <w:r>
              <w:rPr>
                <w:rFonts w:ascii="Times New Roman;Times;serif" w:hAnsi="Times New Roman;Times;serif"/>
                <w:b/>
                <w:color w:val="000000"/>
                <w:sz w:val="15"/>
              </w:rPr>
              <w:t xml:space="preserve">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Severance Pay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5"/>
              </w:rPr>
            </w:pPr>
            <w:r>
              <w:rPr>
                <w:rFonts w:ascii="Times New Roman;Times;serif" w:hAnsi="Times New Roman;Times;serif"/>
                <w:color w:val="000000"/>
                <w:sz w:val="15"/>
              </w:rPr>
              <w:t>$1,215,000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4,228,200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75" w:right="0" w:hanging="0"/>
              <w:jc w:val="left"/>
              <w:rPr>
                <w:color w:val="000000"/>
              </w:rPr>
            </w:pPr>
            <w:r>
              <w:rPr>
                <w:color w:val="000000"/>
              </w:rPr>
              <w:t xml:space="preserve">—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Value of Long-Term Incentives</w:t>
            </w:r>
            <w:r>
              <w:rPr>
                <w:rFonts w:ascii="Times New Roman;Times;serif" w:hAnsi="Times New Roman;Times;serif"/>
                <w:color w:val="000000"/>
                <w:position w:val="5"/>
                <w:sz w:val="12"/>
                <w:sz w:val="15"/>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11,693,439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11,693,439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76" w:right="0" w:hanging="0"/>
              <w:jc w:val="left"/>
              <w:rPr>
                <w:rFonts w:ascii="Times New Roman;Times;serif" w:hAnsi="Times New Roman;Times;serif"/>
                <w:color w:val="000000"/>
                <w:sz w:val="15"/>
              </w:rPr>
            </w:pPr>
            <w:r>
              <w:rPr>
                <w:rFonts w:ascii="Times New Roman;Times;serif" w:hAnsi="Times New Roman;Times;serif"/>
                <w:color w:val="000000"/>
                <w:sz w:val="15"/>
              </w:rPr>
              <w:t>$15,628,249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75" w:right="0" w:hanging="0"/>
              <w:jc w:val="left"/>
              <w:rPr>
                <w:color w:val="000000"/>
              </w:rPr>
            </w:pPr>
            <w:r>
              <w:rPr>
                <w:color w:val="000000"/>
              </w:rPr>
              <w:t xml:space="preserve">—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Annual Incentive Program</w:t>
            </w:r>
            <w:r>
              <w:rPr>
                <w:rFonts w:ascii="Times New Roman;Times;serif" w:hAnsi="Times New Roman;Times;serif"/>
                <w:color w:val="000000"/>
                <w:position w:val="5"/>
                <w:sz w:val="12"/>
                <w:sz w:val="15"/>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15"/>
              </w:rPr>
            </w:pPr>
            <w:r>
              <w:rPr>
                <w:rFonts w:ascii="Times New Roman;Times;serif" w:hAnsi="Times New Roman;Times;serif"/>
                <w:color w:val="000000"/>
                <w:sz w:val="15"/>
              </w:rPr>
              <w:t>$1,304,100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$1,304,100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1,304,100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1,304,100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5"/>
              </w:rPr>
            </w:pPr>
            <w:r>
              <w:rPr>
                <w:rFonts w:ascii="Times New Roman;Times;serif" w:hAnsi="Times New Roman;Times;serif"/>
                <w:color w:val="000000"/>
                <w:sz w:val="15"/>
              </w:rPr>
              <w:t>$1,304,100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5"/>
              </w:rPr>
            </w:pPr>
            <w:r>
              <w:rPr>
                <w:rFonts w:ascii="Times New Roman;Times;serif" w:hAnsi="Times New Roman;Times;serif"/>
                <w:color w:val="000000"/>
                <w:sz w:val="15"/>
              </w:rPr>
              <w:t>$1,304,100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1,304,100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75"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$1,304,100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Post-Employment Health Care</w:t>
            </w:r>
            <w:r>
              <w:rPr>
                <w:rFonts w:ascii="Times New Roman;Times;serif" w:hAnsi="Times New Roman;Times;serif"/>
                <w:color w:val="000000"/>
                <w:position w:val="5"/>
                <w:sz w:val="12"/>
                <w:sz w:val="15"/>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25,465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7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33,954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75" w:right="0" w:hanging="0"/>
              <w:jc w:val="left"/>
              <w:rPr>
                <w:color w:val="000000"/>
              </w:rPr>
            </w:pPr>
            <w:r>
              <w:rPr>
                <w:color w:val="000000"/>
              </w:rPr>
              <w:t xml:space="preserve">—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Disability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7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75" w:right="0" w:hanging="0"/>
              <w:jc w:val="left"/>
              <w:rPr>
                <w:color w:val="000000"/>
              </w:rPr>
            </w:pPr>
            <w:r>
              <w:rPr>
                <w:color w:val="000000"/>
              </w:rPr>
              <w:t xml:space="preserve">—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6" w:right="0" w:hanging="0"/>
              <w:jc w:val="left"/>
              <w:rPr>
                <w:rFonts w:ascii="Times New Roman;Times;serif" w:hAnsi="Times New Roman;Times;serif"/>
                <w:b/>
                <w:color w:val="000000"/>
                <w:sz w:val="15"/>
              </w:rPr>
            </w:pPr>
            <w:r>
              <w:rPr>
                <w:rFonts w:ascii="Times New Roman;Times;serif" w:hAnsi="Times New Roman;Times;serif"/>
                <w:b/>
                <w:color w:val="000000"/>
                <w:sz w:val="15"/>
              </w:rPr>
              <w:t>$1,304,100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8" w:right="0" w:hanging="0"/>
              <w:jc w:val="left"/>
              <w:rPr>
                <w:rFonts w:ascii="Times New Roman;Times;serif" w:hAnsi="Times New Roman;Times;serif"/>
                <w:b/>
                <w:color w:val="000000"/>
                <w:sz w:val="15"/>
              </w:rPr>
            </w:pPr>
            <w:r>
              <w:rPr>
                <w:rFonts w:ascii="Times New Roman;Times;serif" w:hAnsi="Times New Roman;Times;serif"/>
                <w:b/>
                <w:color w:val="000000"/>
                <w:sz w:val="15"/>
              </w:rPr>
              <w:t>$1,304,100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$12,997,539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$12,997,539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rFonts w:ascii="Times New Roman;Times;serif" w:hAnsi="Times New Roman;Times;serif"/>
                <w:b/>
                <w:color w:val="000000"/>
                <w:sz w:val="15"/>
              </w:rPr>
            </w:pPr>
            <w:r>
              <w:rPr>
                <w:rFonts w:ascii="Times New Roman;Times;serif" w:hAnsi="Times New Roman;Times;serif"/>
                <w:b/>
                <w:color w:val="000000"/>
                <w:sz w:val="15"/>
              </w:rPr>
              <w:t>$1,304,100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rFonts w:ascii="Times New Roman;Times;serif" w:hAnsi="Times New Roman;Times;serif"/>
                <w:b/>
                <w:color w:val="000000"/>
                <w:sz w:val="15"/>
              </w:rPr>
            </w:pPr>
            <w:r>
              <w:rPr>
                <w:rFonts w:ascii="Times New Roman;Times;serif" w:hAnsi="Times New Roman;Times;serif"/>
                <w:b/>
                <w:color w:val="000000"/>
                <w:sz w:val="15"/>
              </w:rPr>
              <w:t>$2,544,565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76" w:right="0" w:hanging="0"/>
              <w:jc w:val="left"/>
              <w:rPr>
                <w:rFonts w:ascii="Times New Roman;Times;serif" w:hAnsi="Times New Roman;Times;serif"/>
                <w:b/>
                <w:color w:val="000000"/>
                <w:sz w:val="15"/>
              </w:rPr>
            </w:pPr>
            <w:r>
              <w:rPr>
                <w:rFonts w:ascii="Times New Roman;Times;serif" w:hAnsi="Times New Roman;Times;serif"/>
                <w:b/>
                <w:color w:val="000000"/>
                <w:sz w:val="15"/>
              </w:rPr>
              <w:t>$21,194,503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75" w:right="0" w:hanging="0"/>
              <w:jc w:val="left"/>
              <w:rPr>
                <w:rFonts w:ascii="Times New Roman;Times;serif" w:hAnsi="Times New Roman;Times;serif"/>
                <w:b/>
                <w:color w:val="000000"/>
                <w:sz w:val="15"/>
              </w:rPr>
            </w:pPr>
            <w:r>
              <w:rPr>
                <w:rFonts w:ascii="Times New Roman;Times;serif" w:hAnsi="Times New Roman;Times;serif"/>
                <w:b/>
                <w:color w:val="000000"/>
                <w:sz w:val="15"/>
              </w:rPr>
              <w:t>$1,304,100</w:t>
            </w:r>
          </w:p>
        </w:tc>
      </w:tr>
      <w:tr>
        <w:trPr/>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0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6" descr=""/>
                          <pic:cNvPicPr>
                            <a:picLocks noChangeAspect="1" noChangeArrowheads="1"/>
                          </pic:cNvPicPr>
                        </pic:nvPicPr>
                        <pic:blipFill>
                          <a:blip r:embed="rId107"/>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4" w:name="ny20072699x1_def14a_110-comp_pg11"/>
        <w:bookmarkEnd w:id="124"/>
        <w:r>
          <w:rPr>
            <w:rStyle w:val="InternetLink"/>
            <w:rFonts w:ascii="Times New Roman;Times;Serif" w:hAnsi="Times New Roman;Times;Serif"/>
            <w:b/>
            <w:caps w:val="false"/>
            <w:smallCaps w:val="false"/>
            <w:color w:val="000000"/>
            <w:sz w:val="16"/>
          </w:rPr>
          <w:t>TABLE OF CONTENTS</w:t>
        </w:r>
      </w:hyperlink>
    </w:p>
    <w:tbl>
      <w:tblPr>
        <w:tblW w:w="10670" w:type="dxa"/>
        <w:jc w:val="left"/>
        <w:tblInd w:w="0" w:type="dxa"/>
        <w:tblLayout w:type="fixed"/>
        <w:tblCellMar>
          <w:top w:w="0" w:type="dxa"/>
          <w:left w:w="0" w:type="dxa"/>
          <w:bottom w:w="0" w:type="dxa"/>
          <w:right w:w="0" w:type="dxa"/>
        </w:tblCellMar>
      </w:tblPr>
      <w:tblGrid>
        <w:gridCol w:w="1160"/>
        <w:gridCol w:w="170"/>
        <w:gridCol w:w="170"/>
        <w:gridCol w:w="860"/>
        <w:gridCol w:w="170"/>
        <w:gridCol w:w="170"/>
        <w:gridCol w:w="785"/>
        <w:gridCol w:w="170"/>
        <w:gridCol w:w="170"/>
        <w:gridCol w:w="740"/>
        <w:gridCol w:w="170"/>
        <w:gridCol w:w="170"/>
        <w:gridCol w:w="740"/>
        <w:gridCol w:w="170"/>
        <w:gridCol w:w="170"/>
        <w:gridCol w:w="905"/>
        <w:gridCol w:w="170"/>
        <w:gridCol w:w="170"/>
        <w:gridCol w:w="905"/>
        <w:gridCol w:w="170"/>
        <w:gridCol w:w="170"/>
        <w:gridCol w:w="905"/>
        <w:gridCol w:w="170"/>
        <w:gridCol w:w="170"/>
        <w:gridCol w:w="950"/>
      </w:tblGrid>
      <w:tr>
        <w:trPr/>
        <w:tc>
          <w:tcPr>
            <w:tcW w:w="10670" w:type="dxa"/>
            <w:gridSpan w:val="25"/>
            <w:tcBorders/>
            <w:vAlign w:val="center"/>
          </w:tcPr>
          <w:p>
            <w:pPr>
              <w:pStyle w:val="TableContents"/>
              <w:bidi w:val="0"/>
              <w:spacing w:before="0" w:after="0"/>
              <w:jc w:val="left"/>
              <w:rPr/>
            </w:pPr>
            <w:r>
              <w:rPr/>
              <w:t> </w:t>
            </w:r>
          </w:p>
        </w:tc>
      </w:tr>
      <w:tr>
        <w:trPr/>
        <w:tc>
          <w:tcPr>
            <w:tcW w:w="10670" w:type="dxa"/>
            <w:gridSpan w:val="25"/>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Thomas P. Brennan, Jr. </w:t>
            </w:r>
          </w:p>
        </w:tc>
      </w:tr>
      <w:tr>
        <w:trPr/>
        <w:tc>
          <w:tcPr>
            <w:tcW w:w="116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gridSpan w:val="4"/>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Voluntary Termination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5" w:type="dxa"/>
            <w:gridSpan w:val="13"/>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Involuntary Termination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 Termination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Executive Benefits and</w:t>
            </w:r>
          </w:p>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Payments Upon</w:t>
            </w:r>
          </w:p>
          <w:p>
            <w:pPr>
              <w:pStyle w:val="TableContents"/>
              <w:bidi w:val="0"/>
              <w:spacing w:before="0" w:after="283"/>
              <w:ind w:left="0" w:right="0" w:hanging="0"/>
              <w:jc w:val="left"/>
              <w:rPr>
                <w:rFonts w:ascii="Times New Roman;Times;serif" w:hAnsi="Times New Roman;Times;serif"/>
                <w:b/>
                <w:color w:val="000000"/>
                <w:sz w:val="15"/>
                <w:u w:val="single"/>
              </w:rPr>
            </w:pPr>
            <w:r>
              <w:rPr>
                <w:rFonts w:ascii="Times New Roman;Times;serif" w:hAnsi="Times New Roman;Times;serif"/>
                <w:b/>
                <w:color w:val="000000"/>
                <w:sz w:val="15"/>
                <w:u w:val="single"/>
              </w:rPr>
              <w:t>Termination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Voluntary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Resignation</w:t>
            </w:r>
            <w:r>
              <w:rPr>
                <w:rFonts w:ascii="Times New Roman;Times;serif" w:hAnsi="Times New Roman;Times;serif"/>
                <w:b/>
                <w:color w:val="000000"/>
                <w:position w:val="5"/>
                <w:sz w:val="12"/>
                <w:sz w:val="15"/>
              </w:rPr>
              <w:t>(1)</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Retirement</w:t>
            </w:r>
            <w:r>
              <w:rPr>
                <w:rFonts w:ascii="Times New Roman;Times;serif" w:hAnsi="Times New Roman;Times;serif"/>
                <w:b/>
                <w:color w:val="000000"/>
                <w:position w:val="5"/>
                <w:sz w:val="12"/>
                <w:sz w:val="15"/>
              </w:rPr>
              <w:t>(2)</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Death</w:t>
            </w:r>
            <w:r>
              <w:rPr>
                <w:rFonts w:ascii="Times New Roman;Times;serif" w:hAnsi="Times New Roman;Times;serif"/>
                <w:b/>
                <w:color w:val="000000"/>
                <w:position w:val="5"/>
                <w:sz w:val="12"/>
                <w:sz w:val="15"/>
              </w:rPr>
              <w:t>(3)</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Disability</w:t>
            </w:r>
            <w:r>
              <w:rPr>
                <w:rFonts w:ascii="Times New Roman;Times;serif" w:hAnsi="Times New Roman;Times;serif"/>
                <w:b/>
                <w:color w:val="000000"/>
                <w:position w:val="5"/>
                <w:sz w:val="12"/>
                <w:sz w:val="15"/>
              </w:rPr>
              <w:t>(4)</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Involuntary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For Cause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(5)</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Involuntary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Not for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Cause/Good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Reason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Change in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Control (Not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for Cause/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Good Reason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(7)(8)</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Change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Control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(Without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(8)</w:t>
            </w:r>
            <w:r>
              <w:rPr>
                <w:rFonts w:ascii="Times New Roman;Times;serif" w:hAnsi="Times New Roman;Times;serif"/>
                <w:b/>
                <w:color w:val="000000"/>
                <w:sz w:val="15"/>
              </w:rPr>
              <w:t xml:space="preserve">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Severance Pay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930,000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2,737,300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31" w:right="0" w:hanging="0"/>
              <w:jc w:val="left"/>
              <w:rPr>
                <w:color w:val="000000"/>
              </w:rPr>
            </w:pPr>
            <w:r>
              <w:rPr>
                <w:color w:val="000000"/>
              </w:rPr>
              <w:t xml:space="preserve">—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Value of Long-Term Incentives</w:t>
            </w:r>
            <w:r>
              <w:rPr>
                <w:rFonts w:ascii="Times New Roman;Times;serif" w:hAnsi="Times New Roman;Times;serif"/>
                <w:color w:val="000000"/>
                <w:position w:val="5"/>
                <w:sz w:val="12"/>
                <w:sz w:val="15"/>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4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$6,906,060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5" w:right="0" w:hanging="0"/>
              <w:jc w:val="left"/>
              <w:rPr>
                <w:rFonts w:ascii="Times New Roman;Times;serif" w:hAnsi="Times New Roman;Times;serif"/>
                <w:color w:val="000000"/>
                <w:sz w:val="15"/>
              </w:rPr>
            </w:pPr>
            <w:r>
              <w:rPr>
                <w:rFonts w:ascii="Times New Roman;Times;serif" w:hAnsi="Times New Roman;Times;serif"/>
                <w:color w:val="000000"/>
                <w:sz w:val="15"/>
              </w:rPr>
              <w:t>$6,906,060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7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9,211,369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31" w:right="0" w:hanging="0"/>
              <w:jc w:val="left"/>
              <w:rPr>
                <w:color w:val="000000"/>
              </w:rPr>
            </w:pPr>
            <w:r>
              <w:rPr>
                <w:color w:val="000000"/>
              </w:rPr>
              <w:t xml:space="preserve">—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Annual Incentive Program</w:t>
            </w:r>
            <w:r>
              <w:rPr>
                <w:rFonts w:ascii="Times New Roman;Times;serif" w:hAnsi="Times New Roman;Times;serif"/>
                <w:color w:val="000000"/>
                <w:position w:val="5"/>
                <w:sz w:val="12"/>
                <w:sz w:val="15"/>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15"/>
              </w:rPr>
            </w:pPr>
            <w:r>
              <w:rPr>
                <w:rFonts w:ascii="Times New Roman;Times;serif" w:hAnsi="Times New Roman;Times;serif"/>
                <w:color w:val="000000"/>
                <w:sz w:val="15"/>
              </w:rPr>
              <w:t>$748,650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5"/>
              </w:rPr>
            </w:pPr>
            <w:r>
              <w:rPr>
                <w:rFonts w:ascii="Times New Roman;Times;serif" w:hAnsi="Times New Roman;Times;serif"/>
                <w:color w:val="000000"/>
                <w:sz w:val="15"/>
              </w:rPr>
              <w:t>$748,650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748,650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35"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748,650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15"/>
              </w:rPr>
            </w:pPr>
            <w:r>
              <w:rPr>
                <w:rFonts w:ascii="Times New Roman;Times;serif" w:hAnsi="Times New Roman;Times;serif"/>
                <w:color w:val="000000"/>
                <w:sz w:val="15"/>
              </w:rPr>
              <w:t>$748,650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748,650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748,650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$748,650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Post-Employment Health Care</w:t>
            </w:r>
            <w:r>
              <w:rPr>
                <w:rFonts w:ascii="Times New Roman;Times;serif" w:hAnsi="Times New Roman;Times;serif"/>
                <w:color w:val="000000"/>
                <w:position w:val="5"/>
                <w:sz w:val="12"/>
                <w:sz w:val="15"/>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4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35,434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7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47,245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31" w:right="0" w:hanging="0"/>
              <w:jc w:val="left"/>
              <w:rPr>
                <w:color w:val="000000"/>
              </w:rPr>
            </w:pPr>
            <w:r>
              <w:rPr>
                <w:color w:val="000000"/>
              </w:rPr>
              <w:t xml:space="preserve">—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Disability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7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31" w:right="0" w:hanging="0"/>
              <w:jc w:val="left"/>
              <w:rPr>
                <w:color w:val="000000"/>
              </w:rPr>
            </w:pPr>
            <w:r>
              <w:rPr>
                <w:color w:val="000000"/>
              </w:rPr>
              <w:t xml:space="preserve">—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2" w:right="0" w:hanging="0"/>
              <w:jc w:val="left"/>
              <w:rPr>
                <w:rFonts w:ascii="Times New Roman;Times;serif" w:hAnsi="Times New Roman;Times;serif"/>
                <w:b/>
                <w:color w:val="000000"/>
                <w:sz w:val="15"/>
              </w:rPr>
            </w:pPr>
            <w:r>
              <w:rPr>
                <w:rFonts w:ascii="Times New Roman;Times;serif" w:hAnsi="Times New Roman;Times;serif"/>
                <w:b/>
                <w:color w:val="000000"/>
                <w:sz w:val="15"/>
              </w:rPr>
              <w:t>$748,650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44" w:right="0" w:hanging="0"/>
              <w:jc w:val="left"/>
              <w:rPr>
                <w:rFonts w:ascii="Times New Roman;Times;serif" w:hAnsi="Times New Roman;Times;serif"/>
                <w:b/>
                <w:color w:val="000000"/>
                <w:sz w:val="15"/>
              </w:rPr>
            </w:pPr>
            <w:r>
              <w:rPr>
                <w:rFonts w:ascii="Times New Roman;Times;serif" w:hAnsi="Times New Roman;Times;serif"/>
                <w:b/>
                <w:color w:val="000000"/>
                <w:sz w:val="15"/>
              </w:rPr>
              <w:t>$748,650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$7,654,710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5" w:right="0" w:hanging="0"/>
              <w:jc w:val="left"/>
              <w:rPr>
                <w:rFonts w:ascii="Times New Roman;Times;serif" w:hAnsi="Times New Roman;Times;serif"/>
                <w:b/>
                <w:color w:val="000000"/>
                <w:sz w:val="15"/>
              </w:rPr>
            </w:pPr>
            <w:r>
              <w:rPr>
                <w:rFonts w:ascii="Times New Roman;Times;serif" w:hAnsi="Times New Roman;Times;serif"/>
                <w:b/>
                <w:color w:val="000000"/>
                <w:sz w:val="15"/>
              </w:rPr>
              <w:t>$7,654,710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80" w:right="0" w:hanging="0"/>
              <w:jc w:val="left"/>
              <w:rPr>
                <w:rFonts w:ascii="Times New Roman;Times;serif" w:hAnsi="Times New Roman;Times;serif"/>
                <w:b/>
                <w:color w:val="000000"/>
                <w:sz w:val="15"/>
              </w:rPr>
            </w:pPr>
            <w:r>
              <w:rPr>
                <w:rFonts w:ascii="Times New Roman;Times;serif" w:hAnsi="Times New Roman;Times;serif"/>
                <w:b/>
                <w:color w:val="000000"/>
                <w:sz w:val="15"/>
              </w:rPr>
              <w:t>$748,650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rFonts w:ascii="Times New Roman;Times;serif" w:hAnsi="Times New Roman;Times;serif"/>
                <w:b/>
                <w:color w:val="000000"/>
                <w:sz w:val="15"/>
              </w:rPr>
            </w:pPr>
            <w:r>
              <w:rPr>
                <w:rFonts w:ascii="Times New Roman;Times;serif" w:hAnsi="Times New Roman;Times;serif"/>
                <w:b/>
                <w:color w:val="000000"/>
                <w:sz w:val="15"/>
              </w:rPr>
              <w:t>$1,714,084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76" w:right="0" w:hanging="0"/>
              <w:jc w:val="left"/>
              <w:rPr>
                <w:rFonts w:ascii="Times New Roman;Times;serif" w:hAnsi="Times New Roman;Times;serif"/>
                <w:b/>
                <w:color w:val="000000"/>
                <w:sz w:val="15"/>
              </w:rPr>
            </w:pPr>
            <w:r>
              <w:rPr>
                <w:rFonts w:ascii="Times New Roman;Times;serif" w:hAnsi="Times New Roman;Times;serif"/>
                <w:b/>
                <w:color w:val="000000"/>
                <w:sz w:val="15"/>
              </w:rPr>
              <w:t>$12,744,564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31" w:right="0" w:hanging="0"/>
              <w:jc w:val="left"/>
              <w:rPr>
                <w:rFonts w:ascii="Times New Roman;Times;serif" w:hAnsi="Times New Roman;Times;serif"/>
                <w:b/>
                <w:color w:val="000000"/>
                <w:sz w:val="15"/>
              </w:rPr>
            </w:pPr>
            <w:r>
              <w:rPr>
                <w:rFonts w:ascii="Times New Roman;Times;serif" w:hAnsi="Times New Roman;Times;serif"/>
                <w:b/>
                <w:color w:val="000000"/>
                <w:sz w:val="15"/>
              </w:rPr>
              <w:t>$748,650</w:t>
            </w:r>
          </w:p>
        </w:tc>
      </w:tr>
      <w:tr>
        <w:trPr/>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tbl>
      <w:tblPr>
        <w:tblW w:w="10670" w:type="dxa"/>
        <w:jc w:val="left"/>
        <w:tblInd w:w="0" w:type="dxa"/>
        <w:tblLayout w:type="fixed"/>
        <w:tblCellMar>
          <w:top w:w="0" w:type="dxa"/>
          <w:left w:w="0" w:type="dxa"/>
          <w:bottom w:w="0" w:type="dxa"/>
          <w:right w:w="0" w:type="dxa"/>
        </w:tblCellMar>
      </w:tblPr>
      <w:tblGrid>
        <w:gridCol w:w="1160"/>
        <w:gridCol w:w="170"/>
        <w:gridCol w:w="170"/>
        <w:gridCol w:w="860"/>
        <w:gridCol w:w="170"/>
        <w:gridCol w:w="170"/>
        <w:gridCol w:w="785"/>
        <w:gridCol w:w="170"/>
        <w:gridCol w:w="170"/>
        <w:gridCol w:w="740"/>
        <w:gridCol w:w="170"/>
        <w:gridCol w:w="170"/>
        <w:gridCol w:w="740"/>
        <w:gridCol w:w="170"/>
        <w:gridCol w:w="170"/>
        <w:gridCol w:w="905"/>
        <w:gridCol w:w="170"/>
        <w:gridCol w:w="170"/>
        <w:gridCol w:w="905"/>
        <w:gridCol w:w="170"/>
        <w:gridCol w:w="170"/>
        <w:gridCol w:w="905"/>
        <w:gridCol w:w="170"/>
        <w:gridCol w:w="170"/>
        <w:gridCol w:w="950"/>
      </w:tblGrid>
      <w:tr>
        <w:trPr/>
        <w:tc>
          <w:tcPr>
            <w:tcW w:w="10670" w:type="dxa"/>
            <w:gridSpan w:val="25"/>
            <w:tcBorders/>
            <w:vAlign w:val="center"/>
          </w:tcPr>
          <w:p>
            <w:pPr>
              <w:pStyle w:val="TableContents"/>
              <w:bidi w:val="0"/>
              <w:spacing w:before="0" w:after="0"/>
              <w:jc w:val="left"/>
              <w:rPr/>
            </w:pPr>
            <w:r>
              <w:rPr/>
              <w:t> </w:t>
            </w:r>
          </w:p>
        </w:tc>
      </w:tr>
      <w:tr>
        <w:trPr/>
        <w:tc>
          <w:tcPr>
            <w:tcW w:w="10670" w:type="dxa"/>
            <w:gridSpan w:val="25"/>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Chad M. Frazell </w:t>
            </w:r>
          </w:p>
        </w:tc>
      </w:tr>
      <w:tr>
        <w:trPr/>
        <w:tc>
          <w:tcPr>
            <w:tcW w:w="116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gridSpan w:val="4"/>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Voluntary Termination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5" w:type="dxa"/>
            <w:gridSpan w:val="13"/>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Involuntary Termination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 Termination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Executive Benefits and</w:t>
            </w:r>
          </w:p>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Payments Upon</w:t>
            </w:r>
          </w:p>
          <w:p>
            <w:pPr>
              <w:pStyle w:val="TableContents"/>
              <w:bidi w:val="0"/>
              <w:spacing w:before="0" w:after="283"/>
              <w:ind w:left="0" w:right="0" w:hanging="0"/>
              <w:jc w:val="left"/>
              <w:rPr>
                <w:rFonts w:ascii="Times New Roman;Times;serif" w:hAnsi="Times New Roman;Times;serif"/>
                <w:b/>
                <w:color w:val="000000"/>
                <w:sz w:val="15"/>
                <w:u w:val="single"/>
              </w:rPr>
            </w:pPr>
            <w:r>
              <w:rPr>
                <w:rFonts w:ascii="Times New Roman;Times;serif" w:hAnsi="Times New Roman;Times;serif"/>
                <w:b/>
                <w:color w:val="000000"/>
                <w:sz w:val="15"/>
                <w:u w:val="single"/>
              </w:rPr>
              <w:t>Termination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Voluntary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Resignation</w:t>
            </w:r>
            <w:r>
              <w:rPr>
                <w:rFonts w:ascii="Times New Roman;Times;serif" w:hAnsi="Times New Roman;Times;serif"/>
                <w:b/>
                <w:color w:val="000000"/>
                <w:position w:val="5"/>
                <w:sz w:val="12"/>
                <w:sz w:val="15"/>
              </w:rPr>
              <w:t>(1)</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Retirement</w:t>
            </w:r>
            <w:r>
              <w:rPr>
                <w:rFonts w:ascii="Times New Roman;Times;serif" w:hAnsi="Times New Roman;Times;serif"/>
                <w:b/>
                <w:color w:val="000000"/>
                <w:position w:val="5"/>
                <w:sz w:val="12"/>
                <w:sz w:val="15"/>
              </w:rPr>
              <w:t>(2)</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Death</w:t>
            </w:r>
            <w:r>
              <w:rPr>
                <w:rFonts w:ascii="Times New Roman;Times;serif" w:hAnsi="Times New Roman;Times;serif"/>
                <w:b/>
                <w:color w:val="000000"/>
                <w:position w:val="5"/>
                <w:sz w:val="12"/>
                <w:sz w:val="15"/>
              </w:rPr>
              <w:t>(3)</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Disability</w:t>
            </w:r>
            <w:r>
              <w:rPr>
                <w:rFonts w:ascii="Times New Roman;Times;serif" w:hAnsi="Times New Roman;Times;serif"/>
                <w:b/>
                <w:color w:val="000000"/>
                <w:position w:val="5"/>
                <w:sz w:val="12"/>
                <w:sz w:val="15"/>
              </w:rPr>
              <w:t>(4)</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Involuntary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For Cause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(5)</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Involuntary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Not for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Cause/Good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Reason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Change in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Control (Not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for Cause/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Good Reason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(7)(8)</w:t>
            </w:r>
            <w:r>
              <w:rPr>
                <w:rFonts w:ascii="Times New Roman;Times;serif" w:hAnsi="Times New Roman;Time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Change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Control</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(Without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Termination)</w:t>
            </w:r>
            <w:r>
              <w:rPr>
                <w:rFonts w:ascii="Times New Roman;Times;serif" w:hAnsi="Times New Roman;Times;serif"/>
                <w:b/>
                <w:color w:val="000000"/>
                <w:position w:val="5"/>
                <w:sz w:val="12"/>
                <w:sz w:val="15"/>
              </w:rPr>
              <w:t>(8)</w:t>
            </w:r>
            <w:r>
              <w:rPr>
                <w:rFonts w:ascii="Times New Roman;Times;serif" w:hAnsi="Times New Roman;Times;serif"/>
                <w:b/>
                <w:color w:val="000000"/>
                <w:sz w:val="15"/>
              </w:rPr>
              <w:t xml:space="preserve">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Severance Pay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870,000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2,560,700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31" w:right="0" w:hanging="0"/>
              <w:jc w:val="left"/>
              <w:rPr>
                <w:color w:val="000000"/>
              </w:rPr>
            </w:pPr>
            <w:r>
              <w:rPr>
                <w:color w:val="000000"/>
              </w:rPr>
              <w:t xml:space="preserve">—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Value of Long-Term Incentives</w:t>
            </w:r>
            <w:r>
              <w:rPr>
                <w:rFonts w:ascii="Times New Roman;Times;serif" w:hAnsi="Times New Roman;Times;serif"/>
                <w:color w:val="000000"/>
                <w:position w:val="5"/>
                <w:sz w:val="12"/>
                <w:sz w:val="15"/>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4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$5,907,422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5" w:right="0" w:hanging="0"/>
              <w:jc w:val="left"/>
              <w:rPr>
                <w:rFonts w:ascii="Times New Roman;Times;serif" w:hAnsi="Times New Roman;Times;serif"/>
                <w:color w:val="000000"/>
                <w:sz w:val="15"/>
              </w:rPr>
            </w:pPr>
            <w:r>
              <w:rPr>
                <w:rFonts w:ascii="Times New Roman;Times;serif" w:hAnsi="Times New Roman;Times;serif"/>
                <w:color w:val="000000"/>
                <w:sz w:val="15"/>
              </w:rPr>
              <w:t>$5,907,422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8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7,780,828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31" w:right="0" w:hanging="0"/>
              <w:jc w:val="left"/>
              <w:rPr>
                <w:color w:val="000000"/>
              </w:rPr>
            </w:pPr>
            <w:r>
              <w:rPr>
                <w:color w:val="000000"/>
              </w:rPr>
              <w:t xml:space="preserve">—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Annual Incentive Program</w:t>
            </w:r>
            <w:r>
              <w:rPr>
                <w:rFonts w:ascii="Times New Roman;Times;serif" w:hAnsi="Times New Roman;Times;serif"/>
                <w:color w:val="000000"/>
                <w:position w:val="5"/>
                <w:sz w:val="12"/>
                <w:sz w:val="15"/>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15"/>
              </w:rPr>
            </w:pPr>
            <w:r>
              <w:rPr>
                <w:rFonts w:ascii="Times New Roman;Times;serif" w:hAnsi="Times New Roman;Times;serif"/>
                <w:color w:val="000000"/>
                <w:sz w:val="15"/>
              </w:rPr>
              <w:t>$700,350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44" w:right="0" w:hanging="0"/>
              <w:jc w:val="left"/>
              <w:rPr>
                <w:rFonts w:ascii="Times New Roman;Times;serif" w:hAnsi="Times New Roman;Times;serif"/>
                <w:color w:val="000000"/>
                <w:sz w:val="15"/>
              </w:rPr>
            </w:pPr>
            <w:r>
              <w:rPr>
                <w:rFonts w:ascii="Times New Roman;Times;serif" w:hAnsi="Times New Roman;Times;serif"/>
                <w:color w:val="000000"/>
                <w:sz w:val="15"/>
              </w:rPr>
              <w:t>$700,350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700,350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35"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700,350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15"/>
              </w:rPr>
            </w:pPr>
            <w:r>
              <w:rPr>
                <w:rFonts w:ascii="Times New Roman;Times;serif" w:hAnsi="Times New Roman;Times;serif"/>
                <w:color w:val="000000"/>
                <w:sz w:val="15"/>
              </w:rPr>
              <w:t>$700,350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700,350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700,350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$700,350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Post-Employment Health Care</w:t>
            </w:r>
            <w:r>
              <w:rPr>
                <w:rFonts w:ascii="Times New Roman;Times;serif" w:hAnsi="Times New Roman;Times;serif"/>
                <w:color w:val="000000"/>
                <w:position w:val="5"/>
                <w:sz w:val="12"/>
                <w:sz w:val="15"/>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4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35,434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8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47,245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31" w:right="0" w:hanging="0"/>
              <w:jc w:val="left"/>
              <w:rPr>
                <w:color w:val="000000"/>
              </w:rPr>
            </w:pPr>
            <w:r>
              <w:rPr>
                <w:color w:val="000000"/>
              </w:rPr>
              <w:t xml:space="preserve">—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Disability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6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31" w:right="0" w:hanging="0"/>
              <w:jc w:val="left"/>
              <w:rPr>
                <w:color w:val="000000"/>
              </w:rPr>
            </w:pPr>
            <w:r>
              <w:rPr>
                <w:color w:val="000000"/>
              </w:rPr>
              <w:t xml:space="preserve">—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2" w:right="0" w:hanging="0"/>
              <w:jc w:val="left"/>
              <w:rPr>
                <w:rFonts w:ascii="Times New Roman;Times;serif" w:hAnsi="Times New Roman;Times;serif"/>
                <w:b/>
                <w:color w:val="000000"/>
                <w:sz w:val="15"/>
              </w:rPr>
            </w:pPr>
            <w:r>
              <w:rPr>
                <w:rFonts w:ascii="Times New Roman;Times;serif" w:hAnsi="Times New Roman;Times;serif"/>
                <w:b/>
                <w:color w:val="000000"/>
                <w:sz w:val="15"/>
              </w:rPr>
              <w:t>$700,350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44" w:right="0" w:hanging="0"/>
              <w:jc w:val="left"/>
              <w:rPr>
                <w:rFonts w:ascii="Times New Roman;Times;serif" w:hAnsi="Times New Roman;Times;serif"/>
                <w:b/>
                <w:color w:val="000000"/>
                <w:sz w:val="15"/>
              </w:rPr>
            </w:pPr>
            <w:r>
              <w:rPr>
                <w:rFonts w:ascii="Times New Roman;Times;serif" w:hAnsi="Times New Roman;Times;serif"/>
                <w:b/>
                <w:color w:val="000000"/>
                <w:sz w:val="15"/>
              </w:rPr>
              <w:t>$700,350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$6,607,772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5" w:right="0" w:hanging="0"/>
              <w:jc w:val="left"/>
              <w:rPr>
                <w:rFonts w:ascii="Times New Roman;Times;serif" w:hAnsi="Times New Roman;Times;serif"/>
                <w:b/>
                <w:color w:val="000000"/>
                <w:sz w:val="15"/>
              </w:rPr>
            </w:pPr>
            <w:r>
              <w:rPr>
                <w:rFonts w:ascii="Times New Roman;Times;serif" w:hAnsi="Times New Roman;Times;serif"/>
                <w:b/>
                <w:color w:val="000000"/>
                <w:sz w:val="15"/>
              </w:rPr>
              <w:t>$6,607,772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80" w:right="0" w:hanging="0"/>
              <w:jc w:val="left"/>
              <w:rPr>
                <w:rFonts w:ascii="Times New Roman;Times;serif" w:hAnsi="Times New Roman;Times;serif"/>
                <w:b/>
                <w:color w:val="000000"/>
                <w:sz w:val="15"/>
              </w:rPr>
            </w:pPr>
            <w:r>
              <w:rPr>
                <w:rFonts w:ascii="Times New Roman;Times;serif" w:hAnsi="Times New Roman;Times;serif"/>
                <w:b/>
                <w:color w:val="000000"/>
                <w:sz w:val="15"/>
              </w:rPr>
              <w:t>$700,350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4" w:right="0" w:hanging="0"/>
              <w:jc w:val="left"/>
              <w:rPr>
                <w:rFonts w:ascii="Times New Roman;Times;serif" w:hAnsi="Times New Roman;Times;serif"/>
                <w:b/>
                <w:color w:val="000000"/>
                <w:sz w:val="15"/>
              </w:rPr>
            </w:pPr>
            <w:r>
              <w:rPr>
                <w:rFonts w:ascii="Times New Roman;Times;serif" w:hAnsi="Times New Roman;Times;serif"/>
                <w:b/>
                <w:color w:val="000000"/>
                <w:sz w:val="15"/>
              </w:rPr>
              <w:t>$1,605,784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80" w:right="0" w:hanging="0"/>
              <w:jc w:val="left"/>
              <w:rPr>
                <w:rFonts w:ascii="Times New Roman;Times;serif" w:hAnsi="Times New Roman;Times;serif"/>
                <w:b/>
                <w:color w:val="000000"/>
                <w:sz w:val="15"/>
              </w:rPr>
            </w:pPr>
            <w:r>
              <w:rPr>
                <w:rFonts w:ascii="Times New Roman;Times;serif" w:hAnsi="Times New Roman;Times;serif"/>
                <w:b/>
                <w:color w:val="000000"/>
                <w:sz w:val="15"/>
              </w:rPr>
              <w:t>$11,089,123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31" w:right="0" w:hanging="0"/>
              <w:jc w:val="left"/>
              <w:rPr>
                <w:rFonts w:ascii="Times New Roman;Times;serif" w:hAnsi="Times New Roman;Times;serif"/>
                <w:b/>
                <w:color w:val="000000"/>
                <w:sz w:val="15"/>
              </w:rPr>
            </w:pPr>
            <w:r>
              <w:rPr>
                <w:rFonts w:ascii="Times New Roman;Times;serif" w:hAnsi="Times New Roman;Times;serif"/>
                <w:b/>
                <w:color w:val="000000"/>
                <w:sz w:val="15"/>
              </w:rPr>
              <w:t>$700,350</w:t>
            </w:r>
          </w:p>
        </w:tc>
      </w:tr>
      <w:tr>
        <w:trPr/>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bl>
    <w:tbl>
      <w:tblPr>
        <w:tblW w:w="5410" w:type="dxa"/>
        <w:jc w:val="left"/>
        <w:tblInd w:w="0" w:type="dxa"/>
        <w:tblLayout w:type="fixed"/>
        <w:tblCellMar>
          <w:top w:w="0" w:type="dxa"/>
          <w:left w:w="0" w:type="dxa"/>
          <w:bottom w:w="0" w:type="dxa"/>
          <w:right w:w="0" w:type="dxa"/>
        </w:tblCellMar>
      </w:tblPr>
      <w:tblGrid>
        <w:gridCol w:w="260"/>
        <w:gridCol w:w="51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1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Upon a voluntary resignation, all unvested RSUs and PSUs are forfeited.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1"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16"/>
              </w:rPr>
              <w:t xml:space="preserve">Retirement” means normal retirement upon satisfying either the “rule of 65” (55 years of age plus 10 years of service) or “rule of 75” (age plus full years of service equals at least 75). In such event, all RSUs and PSUs remain outstanding and vest on the regularly scheduled vesting date, in the case of PSUs, subject to achievement of applicable performance goals. None of the NEOs had met the “rule of 65” or the “rule of 75” as of April 30, 2026, and accordingly, were not eligible to retire and continue vesting in any RSUs or PSUs.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Upon death, Mr. Rebelez’s beneficiary will receive payment of the proceeds of a $1 million supplemental life insurance policy provided to him under the terms of his employment agreement. Proceeds from the Company’s group life insurance coverage, equal to one-times base salary (up to a maximum payout of $250,000), have not been included in the tables because it is provided to each NEO under a broad-based, non-discriminatory benefit plan.</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Unvested PSUs granted under the 2024-2026 LTIP will vest at the target level, in each case prorated for the portion of the applicable performance period completed, which, as of April 30, 2026, was the entire performance period for the 2024 PSUs, two-thirds of the performance period for the 2025 PSUs, and one-third of the performance period for the 2026 PSUs. Unvested RSUs granted under the 2024-2026 LTIP vest in-full upon death.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If an NEO becomes “disabled” as defined in the Company’s Long-Term Disability Plan, he or she will receive monthly disability payments equal to $10,000 per month for a benefit period as determined by their age at the time the disability begins (if age 61 or younger, then will continue to age 65, otherwise for over age 61, social security normal retirement age or 5 years, whichever is longest). Proceeds from this insurance coverage have not been included in the tables because it is provided to each NEO under a broad-based, non-discriminatory benefit plan. As of January 1, 2026, the Company no longer pays for any supplemental long-term insurance coverage for any NEO. Upon termination of employment due to disability, all unvested RSUs and PSUs will be treated in the same manner as death, as described in the preceding paragraph. </w:t>
            </w:r>
          </w:p>
        </w:tc>
      </w:tr>
    </w:tbl>
    <w:tbl>
      <w:tblPr>
        <w:tblW w:w="5275" w:type="dxa"/>
        <w:jc w:val="left"/>
        <w:tblInd w:w="0" w:type="dxa"/>
        <w:tblLayout w:type="fixed"/>
        <w:tblCellMar>
          <w:top w:w="0" w:type="dxa"/>
          <w:left w:w="0" w:type="dxa"/>
          <w:bottom w:w="0" w:type="dxa"/>
          <w:right w:w="0" w:type="dxa"/>
        </w:tblCellMar>
      </w:tblPr>
      <w:tblGrid>
        <w:gridCol w:w="260"/>
        <w:gridCol w:w="50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50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Upon termination for cause, all unvested RSUs and PSUs are forfeited.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Under the employment agreement for Mr. Rebelez, upon his involuntary termination other than by the Company for cause or by him for good reason (as defined in the applicable employment agreement), the Company would be obligated to pay Mr. Rebelez (i) a lump-sum cash payment equal to 24 months’ base salary, and for 24 months following such termination, a monthly cash payment equal to Mr. Rebelez’s monthly COBRA premiums, in each case, subject to the execution of a general release in favor of the Company and compliance with certain restrictive covenants, and (ii) a prorated portion of his target AIP amount for the fiscal year of such termination. Under the employment agreements for Mr. Bramlage and Ms. Williams, and the Officer Severance Plan for the other NEOs, upon their involuntary termination other than by the Company for cause or by them for good reason (as defined in the applicable employment agreement or severance plan), the Company would be obligated to pay 18 months’ base salary and COBRA premiums, payable in equal installments over 18 months, in each case, subject to the execution of a general release in favor of the Company and compliance with certain restrictive covenants.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 the event of a termination without cause, all unvested RSUs and PSUs are forfeited as of the effective date of the termination, other than for Mr. Rebelez, accelerated vesting of a pro-rata portion of time-based RSUs granted pursuant to his annual LTIP awards, and subject to subject to execution of a general release in favor of the Company and compliance with certain restrictive covenants.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Upon termination of a NEO’s employment prior to the earlier of the second anniversary of a change of control and the executive’s normal retirement date (as defined in the 401(k) Plan) (the “Employment Period”) for reasons other than cause, death or disability, or for good reason by the NEO (as defined in the applicable COC Agreement), the Company is obligated to pay the NEO a lump-sum cash severance payment in an amount equal to the sum of (a) two times (for Mr. Rebelez, 2.5 times) the sum of (i) the NEO’s then-current annual base salary and (ii) the greater of the annual bonus received by the NEO for the last full fiscal year prior to such termination or the last full fiscal year prior to the change of control (the “Recent Bonus”); (b) a pro rata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09"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7" descr=""/>
                          <pic:cNvPicPr>
                            <a:picLocks noChangeAspect="1" noChangeArrowheads="1"/>
                          </pic:cNvPicPr>
                        </pic:nvPicPr>
                        <pic:blipFill>
                          <a:blip r:embed="rId108"/>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5" w:name="ny20072699x1_def14a_110-comp_pg12"/>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Recent Bonus; and (c) an amount equal to 24 months (for Mr. Rebelez, 30 months) of the NEO’s monthly COBRA premiums. Upon the NEO’s death or disability during the Employment Period, the NEO, or his or her beneficiaries, would be entitled to receive a pro-rated Recent Bonus. Payments made to an NEO made under an applicable COC Agreement are in lieu of, and to the exclusion of, payments under the Officer Severance Plan (i.e., no severance double-dipping).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change of control payments are limited to the threshold amount under Section 280G if it would be more favorable to the NEO on a net after-tax basis than receiving the full payments and paying the excise taxes (a “best-net” approach). The amounts set forth in the tables do not reflect any such reduction.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RSUs and PSUs awarded to the NEOs during the 2024-2026 fiscal years, such awards would not vest upon a change of control if they are assumed by the acquirer or substituted for new awards in a manner that preserves the material terms and conditions of the awards (unless, within 24 months following a change of control, the NEOs’ employment is terminated without cause or by the NEO for good reason, or as a result of death or disability, in which case such awards would automatically vest) (i.e. “double-trigger” vesting). For the purposes of estimating the awards for the Change in Control (Not for Cause/Good Reason Termination) column, it was calculated using the target level of PSUs, and for the Change of Control (Without Termination) column, assuming they were assumed or adequately substituted by the acquirer. The actual value, if any, realized by a NEO from PSUs will depend on the actual performance level achieved by the Company for the applicable performance periods. Any reductions with respect to Section 280G, as described in the preceding paragraph, are not reflected in the tables.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for long-term incentives are based on the closing price of the Company’s stock on April 30, 2026 ($822.15), the last trading day of the fiscal year. No amount is reported for RSUs or PSUs that vested prior to the end of the 2026 fiscal year. </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payout under the AIP for each NEO is earned if the NEO is employed through the end of the Company’s 2026 fiscal year (i.e., April 30, 2026) which is the assumed effective date of termination for the tables. As such, it is included under all termination and separation scenarios and assumes the event is not subject to the Company’s “clawback” policy or is otherwise forfeited. </w:t>
            </w:r>
          </w:p>
        </w:tc>
      </w:tr>
    </w:tbl>
    <w:tbl>
      <w:tblPr>
        <w:tblW w:w="8110" w:type="dxa"/>
        <w:jc w:val="left"/>
        <w:tblInd w:w="0" w:type="dxa"/>
        <w:tblLayout w:type="fixed"/>
        <w:tblCellMar>
          <w:top w:w="0" w:type="dxa"/>
          <w:left w:w="0" w:type="dxa"/>
          <w:bottom w:w="0" w:type="dxa"/>
          <w:right w:w="0" w:type="dxa"/>
        </w:tblCellMar>
      </w:tblPr>
      <w:tblGrid>
        <w:gridCol w:w="350"/>
        <w:gridCol w:w="776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77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Health care costs are based on estimates of the Company’s current costs for such benefits as of April 30, 2026.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10"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8" descr=""/>
                          <pic:cNvPicPr>
                            <a:picLocks noChangeAspect="1" noChangeArrowheads="1"/>
                          </pic:cNvPicPr>
                        </pic:nvPicPr>
                        <pic:blipFill>
                          <a:blip r:embed="rId109"/>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6" w:name="ny20072699x1_def14a_110-comp_pg13"/>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u w:val="single"/>
        </w:rPr>
      </w:pPr>
      <w:bookmarkStart w:id="127" w:name="tCEO"/>
      <w:bookmarkEnd w:id="127"/>
      <w:r>
        <w:rPr>
          <w:rFonts w:ascii="Times New Roman;Times;serif" w:hAnsi="Times New Roman;Times;serif"/>
          <w:b/>
          <w:color w:val="000000"/>
          <w:sz w:val="24"/>
          <w:u w:val="single"/>
        </w:rPr>
        <w:t>CEO PAY RATIO</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Pursuant to Section 953(b) of the Dodd-Frank Act and Item 402(u) of Regulation S-K, we provide the following “pay ratio” information for the Company’s 2026 fiscal year. The pay ratio included in this information represents a reasonable estimate calculated in a manner consistent with Item 402(u) of Regulation S-K.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For 2026, our last completed fiscal year, the annual total compensation of our CEO, Mr. Rebelez, as provided in the Summary Compensation Table, was $14,741,268. The annual total compensation of our median employee, a part-time store team member located in rural Missouri, was $20,065, which was calculated using the same methodology as required by the Summary Compensation Table. Therefore, the ratio of the annual total compensation of our CEO to that of our median employee for the 2026 fiscal year was approximately 735:1.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To determine the median employee (excluding our CEO), we used April 30, 2026, as the determination date, and we ranked each employee (other than our CEO) based on total gross wages received (as reflected in the Company’s payroll records) with respect to the 12-month period beginning on May 1, 2025, and ending on April 30, 2026. Compensation for permanent employees who did not work the entire measurement period was annualized; however, no other exemptions, assumptions, adjustments or estimates were used.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Because 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11"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9" descr=""/>
                          <pic:cNvPicPr>
                            <a:picLocks noChangeAspect="1" noChangeArrowheads="1"/>
                          </pic:cNvPicPr>
                        </pic:nvPicPr>
                        <pic:blipFill>
                          <a:blip r:embed="rId110"/>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8" w:name="ny20072699x1_def14a_111-pvp_pg1"/>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bookmarkStart w:id="129" w:name="tPVP"/>
      <w:bookmarkEnd w:id="129"/>
      <w:r>
        <w:rPr>
          <w:rFonts w:ascii="Times New Roman;Times;serif" w:hAnsi="Times New Roman;Times;serif"/>
          <w:b/>
          <w:color w:val="000000"/>
          <w:sz w:val="24"/>
          <w:u w:val="single"/>
        </w:rPr>
        <w:t>PAY VERSUS PERFORMANCE DISCLOSURE</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Pursuant to Section 953(a) of the Dodd-Frank Act and Item 402(v) of Regulation S-K, the following table sets forth information regarding certain financial performance metrics of the Company and the “compensation actually paid” (“CAP”) to our NEOs, using a methodology that has been prescribed by the SEC.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C/HC Committee does not utilize CAP as the basis for making compensation decisions. For further information concerning our compensation philosophy and how we align executive compensation with our performance, see the CD&amp;A. </w:t>
      </w:r>
    </w:p>
    <w:tbl>
      <w:tblPr>
        <w:tblW w:w="11085" w:type="dxa"/>
        <w:jc w:val="left"/>
        <w:tblInd w:w="0" w:type="dxa"/>
        <w:tblLayout w:type="fixed"/>
        <w:tblCellMar>
          <w:top w:w="0" w:type="dxa"/>
          <w:left w:w="0" w:type="dxa"/>
          <w:bottom w:w="0" w:type="dxa"/>
          <w:right w:w="0" w:type="dxa"/>
        </w:tblCellMar>
      </w:tblPr>
      <w:tblGrid>
        <w:gridCol w:w="185"/>
        <w:gridCol w:w="470"/>
        <w:gridCol w:w="170"/>
        <w:gridCol w:w="170"/>
        <w:gridCol w:w="1085"/>
        <w:gridCol w:w="170"/>
        <w:gridCol w:w="170"/>
        <w:gridCol w:w="950"/>
        <w:gridCol w:w="170"/>
        <w:gridCol w:w="170"/>
        <w:gridCol w:w="1085"/>
        <w:gridCol w:w="170"/>
        <w:gridCol w:w="170"/>
        <w:gridCol w:w="950"/>
        <w:gridCol w:w="170"/>
        <w:gridCol w:w="170"/>
        <w:gridCol w:w="650"/>
        <w:gridCol w:w="170"/>
        <w:gridCol w:w="170"/>
        <w:gridCol w:w="560"/>
        <w:gridCol w:w="170"/>
        <w:gridCol w:w="170"/>
        <w:gridCol w:w="1040"/>
        <w:gridCol w:w="170"/>
        <w:gridCol w:w="170"/>
        <w:gridCol w:w="1175"/>
        <w:gridCol w:w="215"/>
      </w:tblGrid>
      <w:tr>
        <w:trPr/>
        <w:tc>
          <w:tcPr>
            <w:tcW w:w="185" w:type="dxa"/>
            <w:tcBorders/>
            <w:shd w:fill="D9D9D9" w:val="clear"/>
            <w:vAlign w:val="center"/>
          </w:tcPr>
          <w:p>
            <w:pPr>
              <w:pStyle w:val="TableContents"/>
              <w:bidi w:val="0"/>
              <w:spacing w:before="0" w:after="0"/>
              <w:jc w:val="left"/>
              <w:rPr/>
            </w:pPr>
            <w:r>
              <w:rPr/>
              <w:t> </w:t>
            </w:r>
          </w:p>
        </w:tc>
        <w:tc>
          <w:tcPr>
            <w:tcW w:w="10685" w:type="dxa"/>
            <w:gridSpan w:val="25"/>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0685" w:type="dxa"/>
            <w:gridSpan w:val="25"/>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Pay Versus Performance Table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470" w:type="dxa"/>
            <w:vMerge w:val="restart"/>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Fiscal Year</w:t>
            </w:r>
          </w:p>
        </w:tc>
        <w:tc>
          <w:tcPr>
            <w:tcW w:w="170" w:type="dxa"/>
            <w:vMerge w:val="restart"/>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085" w:type="dxa"/>
            <w:vMerge w:val="restart"/>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Summary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Compensation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Table For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PEO</w:t>
            </w:r>
            <w:r>
              <w:rPr>
                <w:rFonts w:ascii="Times New Roman;Times;serif" w:hAnsi="Times New Roman;Times;serif"/>
                <w:b/>
                <w:color w:val="000000"/>
                <w:position w:val="6"/>
                <w:sz w:val="14"/>
                <w:sz w:val="17"/>
              </w:rPr>
              <w:t>(1)(3)</w:t>
            </w:r>
          </w:p>
        </w:tc>
        <w:tc>
          <w:tcPr>
            <w:tcW w:w="170" w:type="dxa"/>
            <w:vMerge w:val="restart"/>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50" w:type="dxa"/>
            <w:vMerge w:val="restart"/>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CAP to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PEO</w:t>
            </w:r>
            <w:r>
              <w:rPr>
                <w:rFonts w:ascii="Times New Roman;Times;serif" w:hAnsi="Times New Roman;Times;serif"/>
                <w:b/>
                <w:color w:val="000000"/>
                <w:position w:val="6"/>
                <w:sz w:val="14"/>
                <w:sz w:val="17"/>
              </w:rPr>
              <w:t>(1)(2)</w:t>
            </w:r>
          </w:p>
        </w:tc>
        <w:tc>
          <w:tcPr>
            <w:tcW w:w="170" w:type="dxa"/>
            <w:vMerge w:val="restart"/>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085" w:type="dxa"/>
            <w:vMerge w:val="restart"/>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Average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Summary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Compensation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Table for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Non-PEO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NEOs</w:t>
            </w:r>
            <w:r>
              <w:rPr>
                <w:rFonts w:ascii="Times New Roman;Times;serif" w:hAnsi="Times New Roman;Times;serif"/>
                <w:b/>
                <w:color w:val="000000"/>
                <w:position w:val="6"/>
                <w:sz w:val="14"/>
                <w:sz w:val="17"/>
              </w:rPr>
              <w:t>(1)(3)</w:t>
            </w:r>
            <w:r>
              <w:rPr>
                <w:rFonts w:ascii="Times New Roman;Times;serif" w:hAnsi="Times New Roman;Times;serif"/>
                <w:b/>
                <w:color w:val="000000"/>
                <w:sz w:val="17"/>
              </w:rPr>
              <w:t xml:space="preserve"> </w:t>
            </w:r>
          </w:p>
        </w:tc>
        <w:tc>
          <w:tcPr>
            <w:tcW w:w="170" w:type="dxa"/>
            <w:vMerge w:val="restart"/>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950" w:type="dxa"/>
            <w:vMerge w:val="restart"/>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Average CAP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to Non-PEO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NEOs</w:t>
            </w:r>
            <w:r>
              <w:rPr>
                <w:rFonts w:ascii="Times New Roman;Times;serif" w:hAnsi="Times New Roman;Times;serif"/>
                <w:b/>
                <w:color w:val="000000"/>
                <w:position w:val="6"/>
                <w:sz w:val="14"/>
                <w:sz w:val="17"/>
              </w:rPr>
              <w:t>(1)(2)</w:t>
            </w:r>
            <w:r>
              <w:rPr>
                <w:rFonts w:ascii="Times New Roman;Times;serif" w:hAnsi="Times New Roman;Times;serif"/>
                <w:b/>
                <w:color w:val="000000"/>
                <w:sz w:val="17"/>
              </w:rPr>
              <w:t xml:space="preserve"> </w:t>
            </w:r>
          </w:p>
        </w:tc>
        <w:tc>
          <w:tcPr>
            <w:tcW w:w="170" w:type="dxa"/>
            <w:vMerge w:val="restart"/>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550" w:type="dxa"/>
            <w:gridSpan w:val="4"/>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Value of Initial Fixed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$100 Investment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based on:</w:t>
            </w:r>
            <w:r>
              <w:rPr>
                <w:rFonts w:ascii="Times New Roman;Times;serif" w:hAnsi="Times New Roman;Times;serif"/>
                <w:b/>
                <w:color w:val="000000"/>
                <w:position w:val="6"/>
                <w:sz w:val="14"/>
                <w:sz w:val="17"/>
              </w:rPr>
              <w:t>(4)</w:t>
            </w:r>
            <w:r>
              <w:rPr>
                <w:rFonts w:ascii="Times New Roman;Times;serif" w:hAnsi="Times New Roman;Times;serif"/>
                <w:b/>
                <w:color w:val="000000"/>
                <w:sz w:val="17"/>
              </w:rPr>
              <w:t xml:space="preserve"> </w:t>
            </w:r>
          </w:p>
        </w:tc>
        <w:tc>
          <w:tcPr>
            <w:tcW w:w="170"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040" w:type="dxa"/>
            <w:vMerge w:val="restart"/>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GAAP Net </w:t>
            </w:r>
          </w:p>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Income</w:t>
            </w:r>
          </w:p>
        </w:tc>
        <w:tc>
          <w:tcPr>
            <w:tcW w:w="170" w:type="dxa"/>
            <w:vMerge w:val="restart"/>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175" w:type="dxa"/>
            <w:vMerge w:val="restart"/>
            <w:tcBorders>
              <w:bottom w:val="single" w:sz="8" w:space="0" w:color="000000"/>
            </w:tcBorders>
            <w:shd w:fill="F2F2F2" w:val="clear"/>
            <w:tcMar>
              <w:bottom w:w="58" w:type="dxa"/>
            </w:tcMar>
            <w:vAlign w:val="center"/>
          </w:tcPr>
          <w:p>
            <w:pPr>
              <w:pStyle w:val="TableContents"/>
              <w:bidi w:val="0"/>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EBITDA</w:t>
            </w:r>
            <w:r>
              <w:rPr>
                <w:rFonts w:ascii="Times New Roman;Times;serif" w:hAnsi="Times New Roman;Times;serif"/>
                <w:b/>
                <w:color w:val="000000"/>
                <w:position w:val="6"/>
                <w:sz w:val="14"/>
                <w:sz w:val="17"/>
              </w:rPr>
              <w:t>(5)</w:t>
            </w:r>
            <w:r>
              <w:rPr>
                <w:rFonts w:ascii="Times New Roman;Times;serif" w:hAnsi="Times New Roman;Times;serif"/>
                <w:b/>
                <w:color w:val="000000"/>
                <w:sz w:val="17"/>
              </w:rPr>
              <w:t xml:space="preserve"> </w:t>
            </w:r>
          </w:p>
        </w:tc>
        <w:tc>
          <w:tcPr>
            <w:tcW w:w="215" w:type="dxa"/>
            <w:vMerge w:val="restart"/>
            <w:tcBorders>
              <w:bottom w:val="single" w:sz="8" w:space="0" w:color="000000"/>
            </w:tcBorders>
            <w:shd w:fill="F2F2F2" w:val="clear"/>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F2F2F2" w:val="clear"/>
            <w:tcMar>
              <w:bottom w:w="28" w:type="dxa"/>
            </w:tcMar>
            <w:vAlign w:val="center"/>
          </w:tcPr>
          <w:p>
            <w:pPr>
              <w:pStyle w:val="Normal"/>
              <w:bidi w:val="0"/>
              <w:jc w:val="left"/>
              <w:rPr/>
            </w:pPr>
            <w:r>
              <w:rPr/>
            </w:r>
          </w:p>
        </w:tc>
        <w:tc>
          <w:tcPr>
            <w:tcW w:w="470" w:type="dxa"/>
            <w:vMerge w:val="continue"/>
            <w:tcBorders>
              <w:bottom w:val="single" w:sz="8" w:space="0" w:color="000000"/>
            </w:tcBorders>
            <w:shd w:fill="F2F2F2" w:val="clear"/>
            <w:tcMar>
              <w:bottom w:w="58"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F2F2F2" w:val="clear"/>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shd w:fill="F2F2F2" w:val="clear"/>
            <w:tcMar>
              <w:bottom w:w="28" w:type="dxa"/>
            </w:tcMar>
            <w:vAlign w:val="center"/>
          </w:tcPr>
          <w:p>
            <w:pPr>
              <w:pStyle w:val="Normal"/>
              <w:bidi w:val="0"/>
              <w:jc w:val="left"/>
              <w:rPr/>
            </w:pPr>
            <w:r>
              <w:rPr/>
            </w:r>
          </w:p>
        </w:tc>
        <w:tc>
          <w:tcPr>
            <w:tcW w:w="1085" w:type="dxa"/>
            <w:vMerge w:val="continue"/>
            <w:tcBorders>
              <w:bottom w:val="single" w:sz="8" w:space="0" w:color="000000"/>
            </w:tcBorders>
            <w:shd w:fill="F2F2F2" w:val="clear"/>
            <w:tcMar>
              <w:bottom w:w="58"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F2F2F2" w:val="clear"/>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shd w:fill="F2F2F2" w:val="clear"/>
            <w:tcMar>
              <w:bottom w:w="28" w:type="dxa"/>
            </w:tcMar>
            <w:vAlign w:val="center"/>
          </w:tcPr>
          <w:p>
            <w:pPr>
              <w:pStyle w:val="Normal"/>
              <w:bidi w:val="0"/>
              <w:jc w:val="left"/>
              <w:rPr/>
            </w:pPr>
            <w:r>
              <w:rPr/>
            </w:r>
          </w:p>
        </w:tc>
        <w:tc>
          <w:tcPr>
            <w:tcW w:w="950" w:type="dxa"/>
            <w:vMerge w:val="continue"/>
            <w:tcBorders>
              <w:bottom w:val="single" w:sz="8" w:space="0" w:color="000000"/>
            </w:tcBorders>
            <w:shd w:fill="F2F2F2" w:val="clear"/>
            <w:tcMar>
              <w:bottom w:w="58"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F2F2F2" w:val="clear"/>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shd w:fill="F2F2F2" w:val="clear"/>
            <w:tcMar>
              <w:bottom w:w="28" w:type="dxa"/>
            </w:tcMar>
            <w:vAlign w:val="center"/>
          </w:tcPr>
          <w:p>
            <w:pPr>
              <w:pStyle w:val="Normal"/>
              <w:bidi w:val="0"/>
              <w:jc w:val="left"/>
              <w:rPr/>
            </w:pPr>
            <w:r>
              <w:rPr/>
            </w:r>
          </w:p>
        </w:tc>
        <w:tc>
          <w:tcPr>
            <w:tcW w:w="1085" w:type="dxa"/>
            <w:vMerge w:val="continue"/>
            <w:tcBorders>
              <w:bottom w:val="single" w:sz="8" w:space="0" w:color="000000"/>
            </w:tcBorders>
            <w:shd w:fill="F2F2F2" w:val="clear"/>
            <w:tcMar>
              <w:bottom w:w="58"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F2F2F2" w:val="clear"/>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shd w:fill="F2F2F2" w:val="clear"/>
            <w:tcMar>
              <w:bottom w:w="28" w:type="dxa"/>
            </w:tcMar>
            <w:vAlign w:val="center"/>
          </w:tcPr>
          <w:p>
            <w:pPr>
              <w:pStyle w:val="Normal"/>
              <w:bidi w:val="0"/>
              <w:jc w:val="left"/>
              <w:rPr/>
            </w:pPr>
            <w:r>
              <w:rPr/>
            </w:r>
          </w:p>
        </w:tc>
        <w:tc>
          <w:tcPr>
            <w:tcW w:w="950" w:type="dxa"/>
            <w:vMerge w:val="continue"/>
            <w:tcBorders>
              <w:bottom w:val="single" w:sz="8" w:space="0" w:color="000000"/>
            </w:tcBorders>
            <w:shd w:fill="F2F2F2" w:val="clear"/>
            <w:tcMar>
              <w:bottom w:w="58"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F2F2F2" w:val="clear"/>
            <w:tcMar>
              <w:bottom w:w="28" w:type="dxa"/>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Casey’s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TSR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Peer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Group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TSR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continue"/>
            <w:tcBorders>
              <w:bottom w:val="single" w:sz="8" w:space="0" w:color="000000"/>
            </w:tcBorders>
            <w:shd w:fill="F2F2F2" w:val="clear"/>
            <w:tcMar>
              <w:bottom w:w="28" w:type="dxa"/>
            </w:tcMar>
            <w:vAlign w:val="center"/>
          </w:tcPr>
          <w:p>
            <w:pPr>
              <w:pStyle w:val="Normal"/>
              <w:bidi w:val="0"/>
              <w:jc w:val="left"/>
              <w:rPr/>
            </w:pPr>
            <w:r>
              <w:rPr/>
            </w:r>
          </w:p>
        </w:tc>
        <w:tc>
          <w:tcPr>
            <w:tcW w:w="1040" w:type="dxa"/>
            <w:vMerge w:val="continue"/>
            <w:tcBorders>
              <w:bottom w:val="single" w:sz="8" w:space="0" w:color="000000"/>
            </w:tcBorders>
            <w:shd w:fill="F2F2F2" w:val="clear"/>
            <w:tcMar>
              <w:bottom w:w="58"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F2F2F2" w:val="clear"/>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shd w:fill="F2F2F2" w:val="clear"/>
            <w:tcMar>
              <w:bottom w:w="28" w:type="dxa"/>
            </w:tcMar>
            <w:vAlign w:val="center"/>
          </w:tcPr>
          <w:p>
            <w:pPr>
              <w:pStyle w:val="Normal"/>
              <w:bidi w:val="0"/>
              <w:jc w:val="left"/>
              <w:rPr/>
            </w:pPr>
            <w:r>
              <w:rPr/>
            </w:r>
          </w:p>
        </w:tc>
        <w:tc>
          <w:tcPr>
            <w:tcW w:w="1175" w:type="dxa"/>
            <w:vMerge w:val="continue"/>
            <w:tcBorders>
              <w:bottom w:val="single" w:sz="8" w:space="0" w:color="000000"/>
            </w:tcBorders>
            <w:shd w:fill="F2F2F2" w:val="clear"/>
            <w:tcMar>
              <w:bottom w:w="58" w:type="dxa"/>
            </w:tcMar>
            <w:vAlign w:val="center"/>
          </w:tcPr>
          <w:p>
            <w:pPr>
              <w:pStyle w:val="Normal"/>
              <w:bidi w:val="0"/>
              <w:jc w:val="left"/>
              <w:rPr/>
            </w:pPr>
            <w:r>
              <w:rPr/>
            </w:r>
          </w:p>
        </w:tc>
        <w:tc>
          <w:tcPr>
            <w:tcW w:w="215" w:type="dxa"/>
            <w:vMerge w:val="continue"/>
            <w:tcBorders>
              <w:bottom w:val="single" w:sz="8" w:space="0" w:color="000000"/>
            </w:tcBorders>
            <w:shd w:fill="F2F2F2" w:val="clear"/>
            <w:tcMar>
              <w:bottom w:w="28" w:type="dxa"/>
            </w:tcMar>
            <w:vAlign w:val="center"/>
          </w:tcPr>
          <w:p>
            <w:pPr>
              <w:pStyle w:val="Normal"/>
              <w:bidi w:val="0"/>
              <w:jc w:val="left"/>
              <w:rPr/>
            </w:pPr>
            <w:r>
              <w:rPr/>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70" w:type="dxa"/>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2026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55" w:type="dxa"/>
            </w:tcMar>
            <w:vAlign w:val="center"/>
          </w:tcPr>
          <w:p>
            <w:pPr>
              <w:pStyle w:val="TableContents"/>
              <w:bidi w:val="0"/>
              <w:spacing w:before="0" w:after="283"/>
              <w:ind w:left="74" w:right="0" w:hanging="0"/>
              <w:jc w:val="left"/>
              <w:rPr>
                <w:rFonts w:ascii="Times New Roman;Times;serif" w:hAnsi="Times New Roman;Times;serif"/>
                <w:color w:val="000000"/>
                <w:sz w:val="18"/>
              </w:rPr>
            </w:pPr>
            <w:r>
              <w:rPr>
                <w:rFonts w:ascii="Times New Roman;Times;serif" w:hAnsi="Times New Roman;Times;serif"/>
                <w:color w:val="000000"/>
                <w:sz w:val="18"/>
              </w:rPr>
              <w:t>$14,741,268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$83,686,371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55" w:type="dxa"/>
            </w:tcMar>
            <w:vAlign w:val="center"/>
          </w:tcPr>
          <w:p>
            <w:pPr>
              <w:pStyle w:val="TableContents"/>
              <w:bidi w:val="0"/>
              <w:spacing w:before="0" w:after="283"/>
              <w:ind w:left="119" w:right="0" w:hanging="0"/>
              <w:jc w:val="left"/>
              <w:rPr>
                <w:rFonts w:ascii="Times New Roman;Times;serif" w:hAnsi="Times New Roman;Times;serif"/>
                <w:color w:val="000000"/>
                <w:sz w:val="18"/>
              </w:rPr>
            </w:pPr>
            <w:r>
              <w:rPr>
                <w:rFonts w:ascii="Times New Roman;Times;serif" w:hAnsi="Times New Roman;Times;serif"/>
                <w:color w:val="000000"/>
                <w:sz w:val="18"/>
              </w:rPr>
              <w:t>$4,084,058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55" w:type="dxa"/>
            </w:tcMar>
            <w:vAlign w:val="center"/>
          </w:tcPr>
          <w:p>
            <w:pPr>
              <w:pStyle w:val="TableContents"/>
              <w:bidi w:val="0"/>
              <w:spacing w:before="0" w:after="283"/>
              <w:ind w:left="49" w:right="0" w:hanging="0"/>
              <w:jc w:val="left"/>
              <w:rPr>
                <w:rFonts w:ascii="Times New Roman;Times;serif" w:hAnsi="Times New Roman;Times;serif"/>
                <w:color w:val="000000"/>
                <w:sz w:val="18"/>
              </w:rPr>
            </w:pPr>
            <w:r>
              <w:rPr>
                <w:rFonts w:ascii="Times New Roman;Times;serif" w:hAnsi="Times New Roman;Times;serif"/>
                <w:color w:val="000000"/>
                <w:sz w:val="18"/>
              </w:rPr>
              <w:t>$17,652,521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55" w:type="dxa"/>
            </w:tcMar>
            <w:vAlign w:val="center"/>
          </w:tcPr>
          <w:p>
            <w:pPr>
              <w:pStyle w:val="TableContents"/>
              <w:bidi w:val="0"/>
              <w:spacing w:before="0" w:after="283"/>
              <w:ind w:left="172" w:right="0" w:hanging="0"/>
              <w:jc w:val="left"/>
              <w:rPr>
                <w:rFonts w:ascii="Times New Roman;Times;serif" w:hAnsi="Times New Roman;Times;serif"/>
                <w:color w:val="000000"/>
                <w:sz w:val="18"/>
              </w:rPr>
            </w:pPr>
            <w:r>
              <w:rPr>
                <w:rFonts w:ascii="Times New Roman;Times;serif" w:hAnsi="Times New Roman;Times;serif"/>
                <w:color w:val="000000"/>
                <w:sz w:val="18"/>
              </w:rPr>
              <w:t>$381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5" w:type="dxa"/>
            </w:tcMar>
            <w:vAlign w:val="center"/>
          </w:tcPr>
          <w:p>
            <w:pPr>
              <w:pStyle w:val="TableContents"/>
              <w:bidi w:val="0"/>
              <w:spacing w:before="0" w:after="283"/>
              <w:ind w:left="134" w:right="0" w:hanging="0"/>
              <w:jc w:val="left"/>
              <w:rPr>
                <w:rFonts w:ascii="Times New Roman;Times;serif" w:hAnsi="Times New Roman;Times;serif"/>
                <w:color w:val="000000"/>
                <w:sz w:val="18"/>
              </w:rPr>
            </w:pPr>
            <w:r>
              <w:rPr>
                <w:rFonts w:ascii="Times New Roman;Times;serif" w:hAnsi="Times New Roman;Times;serif"/>
                <w:color w:val="000000"/>
                <w:sz w:val="18"/>
              </w:rPr>
              <w:t>$151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$714,448,000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5"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$1,483,615,000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70" w:type="dxa"/>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2025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55" w:type="dxa"/>
            </w:tcMar>
            <w:vAlign w:val="center"/>
          </w:tcPr>
          <w:p>
            <w:pPr>
              <w:pStyle w:val="TableContents"/>
              <w:bidi w:val="0"/>
              <w:spacing w:before="0" w:after="283"/>
              <w:ind w:left="74" w:right="0" w:hanging="0"/>
              <w:jc w:val="left"/>
              <w:rPr>
                <w:rFonts w:ascii="Times New Roman;Times;serif" w:hAnsi="Times New Roman;Times;serif"/>
                <w:color w:val="000000"/>
                <w:sz w:val="18"/>
              </w:rPr>
            </w:pPr>
            <w:r>
              <w:rPr>
                <w:rFonts w:ascii="Times New Roman;Times;serif" w:hAnsi="Times New Roman;Times;serif"/>
                <w:color w:val="000000"/>
                <w:sz w:val="18"/>
              </w:rPr>
              <w:t>$10,680,190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$42,464,859</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55" w:type="dxa"/>
            </w:tcMar>
            <w:vAlign w:val="center"/>
          </w:tcPr>
          <w:p>
            <w:pPr>
              <w:pStyle w:val="TableContents"/>
              <w:bidi w:val="0"/>
              <w:spacing w:before="0" w:after="283"/>
              <w:ind w:left="119" w:right="0" w:hanging="0"/>
              <w:jc w:val="left"/>
              <w:rPr>
                <w:rFonts w:ascii="Times New Roman;Times;serif" w:hAnsi="Times New Roman;Times;serif"/>
                <w:color w:val="000000"/>
                <w:sz w:val="18"/>
              </w:rPr>
            </w:pPr>
            <w:r>
              <w:rPr>
                <w:rFonts w:ascii="Times New Roman;Times;serif" w:hAnsi="Times New Roman;Times;serif"/>
                <w:color w:val="000000"/>
                <w:sz w:val="18"/>
              </w:rPr>
              <w:t>$2,971,538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55" w:type="dxa"/>
            </w:tcMar>
            <w:vAlign w:val="center"/>
          </w:tcPr>
          <w:p>
            <w:pPr>
              <w:pStyle w:val="TableContents"/>
              <w:bidi w:val="0"/>
              <w:spacing w:before="0" w:after="283"/>
              <w:ind w:left="49"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9,027,522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55" w:type="dxa"/>
            </w:tcMar>
            <w:vAlign w:val="center"/>
          </w:tcPr>
          <w:p>
            <w:pPr>
              <w:pStyle w:val="TableContents"/>
              <w:bidi w:val="0"/>
              <w:spacing w:before="0" w:after="283"/>
              <w:ind w:left="172" w:right="0" w:hanging="0"/>
              <w:jc w:val="left"/>
              <w:rPr>
                <w:rFonts w:ascii="Times New Roman;Times;serif" w:hAnsi="Times New Roman;Times;serif"/>
                <w:color w:val="000000"/>
                <w:sz w:val="18"/>
              </w:rPr>
            </w:pPr>
            <w:r>
              <w:rPr>
                <w:rFonts w:ascii="Times New Roman;Times;serif" w:hAnsi="Times New Roman;Times;serif"/>
                <w:color w:val="000000"/>
                <w:sz w:val="18"/>
              </w:rPr>
              <w:t>$213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5" w:type="dxa"/>
            </w:tcMar>
            <w:vAlign w:val="center"/>
          </w:tcPr>
          <w:p>
            <w:pPr>
              <w:pStyle w:val="TableContents"/>
              <w:bidi w:val="0"/>
              <w:spacing w:before="0" w:after="283"/>
              <w:ind w:left="134" w:right="0" w:hanging="0"/>
              <w:jc w:val="left"/>
              <w:rPr>
                <w:rFonts w:ascii="Times New Roman;Times;serif" w:hAnsi="Times New Roman;Times;serif"/>
                <w:color w:val="000000"/>
                <w:sz w:val="18"/>
              </w:rPr>
            </w:pPr>
            <w:r>
              <w:rPr>
                <w:rFonts w:ascii="Times New Roman;Times;serif" w:hAnsi="Times New Roman;Times;serif"/>
                <w:color w:val="000000"/>
                <w:sz w:val="18"/>
              </w:rPr>
              <w:t>$140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$546,520,000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5"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$1,200,047,000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70" w:type="dxa"/>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55" w:type="dxa"/>
            </w:tcMar>
            <w:vAlign w:val="center"/>
          </w:tcPr>
          <w:p>
            <w:pPr>
              <w:pStyle w:val="TableContents"/>
              <w:bidi w:val="0"/>
              <w:spacing w:before="0" w:after="283"/>
              <w:ind w:left="74" w:right="0" w:hanging="0"/>
              <w:jc w:val="left"/>
              <w:rPr>
                <w:rFonts w:ascii="Times New Roman;Times;serif" w:hAnsi="Times New Roman;Times;serif"/>
                <w:color w:val="000000"/>
                <w:sz w:val="18"/>
              </w:rPr>
            </w:pPr>
            <w:r>
              <w:rPr>
                <w:rFonts w:ascii="Times New Roman;Times;serif" w:hAnsi="Times New Roman;Times;serif"/>
                <w:color w:val="000000"/>
                <w:sz w:val="18"/>
              </w:rPr>
              <w:t>$10,626,257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$33,564,809</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55" w:type="dxa"/>
            </w:tcMar>
            <w:vAlign w:val="center"/>
          </w:tcPr>
          <w:p>
            <w:pPr>
              <w:pStyle w:val="TableContents"/>
              <w:bidi w:val="0"/>
              <w:spacing w:before="0" w:after="283"/>
              <w:ind w:left="119" w:right="0" w:hanging="0"/>
              <w:jc w:val="left"/>
              <w:rPr>
                <w:rFonts w:ascii="Times New Roman;Times;serif" w:hAnsi="Times New Roman;Times;serif"/>
                <w:color w:val="000000"/>
                <w:sz w:val="18"/>
              </w:rPr>
            </w:pPr>
            <w:r>
              <w:rPr>
                <w:rFonts w:ascii="Times New Roman;Times;serif" w:hAnsi="Times New Roman;Times;serif"/>
                <w:color w:val="000000"/>
                <w:sz w:val="18"/>
              </w:rPr>
              <w:t>$3,066,576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55" w:type="dxa"/>
            </w:tcMar>
            <w:vAlign w:val="center"/>
          </w:tcPr>
          <w:p>
            <w:pPr>
              <w:pStyle w:val="TableContents"/>
              <w:bidi w:val="0"/>
              <w:spacing w:before="0" w:after="283"/>
              <w:ind w:left="49"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8,057,409</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55" w:type="dxa"/>
            </w:tcMar>
            <w:vAlign w:val="center"/>
          </w:tcPr>
          <w:p>
            <w:pPr>
              <w:pStyle w:val="TableContents"/>
              <w:bidi w:val="0"/>
              <w:spacing w:before="0" w:after="283"/>
              <w:ind w:left="172" w:right="0" w:hanging="0"/>
              <w:jc w:val="left"/>
              <w:rPr>
                <w:rFonts w:ascii="Times New Roman;Times;serif" w:hAnsi="Times New Roman;Times;serif"/>
                <w:color w:val="000000"/>
                <w:sz w:val="18"/>
              </w:rPr>
            </w:pPr>
            <w:r>
              <w:rPr>
                <w:rFonts w:ascii="Times New Roman;Times;serif" w:hAnsi="Times New Roman;Times;serif"/>
                <w:color w:val="000000"/>
                <w:sz w:val="18"/>
              </w:rPr>
              <w:t>$147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5" w:type="dxa"/>
            </w:tcMar>
            <w:vAlign w:val="center"/>
          </w:tcPr>
          <w:p>
            <w:pPr>
              <w:pStyle w:val="TableContents"/>
              <w:bidi w:val="0"/>
              <w:spacing w:before="0" w:after="283"/>
              <w:ind w:left="134" w:right="0" w:hanging="0"/>
              <w:jc w:val="left"/>
              <w:rPr>
                <w:rFonts w:ascii="Times New Roman;Times;serif" w:hAnsi="Times New Roman;Times;serif"/>
                <w:color w:val="000000"/>
                <w:sz w:val="18"/>
              </w:rPr>
            </w:pPr>
            <w:r>
              <w:rPr>
                <w:rFonts w:ascii="Times New Roman;Times;serif" w:hAnsi="Times New Roman;Times;serif"/>
                <w:color w:val="000000"/>
                <w:sz w:val="18"/>
              </w:rPr>
              <w:t>$122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$501,972,000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5"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$1,059,398,000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70" w:type="dxa"/>
            <w:tcBorders>
              <w:bottom w:val="single" w:sz="8" w:space="0" w:color="000000"/>
            </w:tcBorders>
            <w:tcMar>
              <w:bottom w:w="55" w:type="dxa"/>
            </w:tcMar>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2023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55" w:type="dxa"/>
            </w:tcMar>
            <w:vAlign w:val="center"/>
          </w:tcPr>
          <w:p>
            <w:pPr>
              <w:pStyle w:val="TableContents"/>
              <w:bidi w:val="0"/>
              <w:spacing w:before="0" w:after="283"/>
              <w:ind w:left="74" w:right="0" w:hanging="0"/>
              <w:jc w:val="left"/>
              <w:rPr>
                <w:rFonts w:ascii="Times New Roman;Times;serif" w:hAnsi="Times New Roman;Times;serif"/>
                <w:color w:val="000000"/>
                <w:sz w:val="18"/>
              </w:rPr>
            </w:pPr>
            <w:r>
              <w:rPr>
                <w:rFonts w:ascii="Times New Roman;Times;serif" w:hAnsi="Times New Roman;Times;serif"/>
                <w:color w:val="000000"/>
                <w:sz w:val="18"/>
              </w:rPr>
              <w:t>$10,607,379</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$18,017,916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55" w:type="dxa"/>
            </w:tcMar>
            <w:vAlign w:val="center"/>
          </w:tcPr>
          <w:p>
            <w:pPr>
              <w:pStyle w:val="TableContents"/>
              <w:bidi w:val="0"/>
              <w:spacing w:before="0" w:after="283"/>
              <w:ind w:left="119" w:right="0" w:hanging="0"/>
              <w:jc w:val="left"/>
              <w:rPr>
                <w:rFonts w:ascii="Times New Roman;Times;serif" w:hAnsi="Times New Roman;Times;serif"/>
                <w:color w:val="000000"/>
                <w:sz w:val="18"/>
              </w:rPr>
            </w:pPr>
            <w:r>
              <w:rPr>
                <w:rFonts w:ascii="Times New Roman;Times;serif" w:hAnsi="Times New Roman;Times;serif"/>
                <w:color w:val="000000"/>
                <w:sz w:val="18"/>
              </w:rPr>
              <w:t>$2,931,535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55" w:type="dxa"/>
            </w:tcMar>
            <w:vAlign w:val="center"/>
          </w:tcPr>
          <w:p>
            <w:pPr>
              <w:pStyle w:val="TableContents"/>
              <w:bidi w:val="0"/>
              <w:spacing w:before="0" w:after="283"/>
              <w:ind w:left="49"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4,874,894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55" w:type="dxa"/>
            </w:tcMar>
            <w:vAlign w:val="center"/>
          </w:tcPr>
          <w:p>
            <w:pPr>
              <w:pStyle w:val="TableContents"/>
              <w:bidi w:val="0"/>
              <w:spacing w:before="0" w:after="283"/>
              <w:ind w:left="172" w:right="0" w:hanging="0"/>
              <w:jc w:val="left"/>
              <w:rPr>
                <w:rFonts w:ascii="Times New Roman;Times;serif" w:hAnsi="Times New Roman;Times;serif"/>
                <w:color w:val="000000"/>
                <w:sz w:val="18"/>
              </w:rPr>
            </w:pPr>
            <w:r>
              <w:rPr>
                <w:rFonts w:ascii="Times New Roman;Times;serif" w:hAnsi="Times New Roman;Times;serif"/>
                <w:color w:val="000000"/>
                <w:sz w:val="18"/>
              </w:rPr>
              <w:t>$104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5" w:type="dxa"/>
            </w:tcMar>
            <w:vAlign w:val="center"/>
          </w:tcPr>
          <w:p>
            <w:pPr>
              <w:pStyle w:val="TableContents"/>
              <w:bidi w:val="0"/>
              <w:spacing w:before="0" w:after="283"/>
              <w:ind w:left="13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118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$446,691,000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5" w:type="dxa"/>
            <w:tcBorders>
              <w:bottom w:val="single" w:sz="8" w:space="0" w:color="000000"/>
            </w:tcBorders>
            <w:tcMar>
              <w:bottom w:w="5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952,464,000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7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9,061,083</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9,712,877</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19" w:right="0" w:hanging="0"/>
              <w:jc w:val="left"/>
              <w:rPr>
                <w:rFonts w:ascii="Times New Roman;Times;serif" w:hAnsi="Times New Roman;Times;serif"/>
                <w:color w:val="000000"/>
                <w:sz w:val="18"/>
              </w:rPr>
            </w:pPr>
            <w:r>
              <w:rPr>
                <w:rFonts w:ascii="Times New Roman;Times;serif" w:hAnsi="Times New Roman;Times;serif"/>
                <w:color w:val="000000"/>
                <w:sz w:val="18"/>
              </w:rPr>
              <w:t>$2,862,173</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9"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3,711,970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72"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91</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3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115</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$339,790,000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801,241,000</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Rebelez served as our principal executive officer (PEO) for fiscal years 2022-2026. Reflects other NEOs for the applicable years as follows: (i) for 2022, Mr. Bramlage, Ms. Williams, Mr. Brennan and Adrian M. Butler (the Company’s prior Chief Information Officer), and (iii) for 2023-2026, Mr. Bramlage, Ms. Williams, Mr. Brennan and Mr. Frazell.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following amounts were deducted from and/or added to Summary Compensation Table (“SCT”) total compensation in accordance with the SEC-mandated adjustments to calculate CAP. Previously reported amounts for 2025 have been revised in select instances to incorporate administrative updates. The fair value of equity awards was determined using methodologies and assumptions developed in a manner substantively consistent with those used to determine the grant date fair value of such awards: </w:t>
            </w:r>
          </w:p>
        </w:tc>
      </w:tr>
    </w:tbl>
    <w:tbl>
      <w:tblPr>
        <w:tblW w:w="10820" w:type="dxa"/>
        <w:jc w:val="left"/>
        <w:tblInd w:w="0" w:type="dxa"/>
        <w:tblLayout w:type="fixed"/>
        <w:tblCellMar>
          <w:top w:w="0" w:type="dxa"/>
          <w:left w:w="0" w:type="dxa"/>
          <w:bottom w:w="0" w:type="dxa"/>
          <w:right w:w="0" w:type="dxa"/>
        </w:tblCellMar>
      </w:tblPr>
      <w:tblGrid>
        <w:gridCol w:w="185"/>
        <w:gridCol w:w="170"/>
        <w:gridCol w:w="170"/>
        <w:gridCol w:w="980"/>
        <w:gridCol w:w="170"/>
        <w:gridCol w:w="170"/>
        <w:gridCol w:w="545"/>
        <w:gridCol w:w="170"/>
        <w:gridCol w:w="170"/>
        <w:gridCol w:w="545"/>
        <w:gridCol w:w="170"/>
        <w:gridCol w:w="170"/>
        <w:gridCol w:w="545"/>
        <w:gridCol w:w="170"/>
        <w:gridCol w:w="170"/>
        <w:gridCol w:w="530"/>
        <w:gridCol w:w="170"/>
        <w:gridCol w:w="170"/>
        <w:gridCol w:w="545"/>
        <w:gridCol w:w="170"/>
        <w:gridCol w:w="170"/>
        <w:gridCol w:w="530"/>
        <w:gridCol w:w="170"/>
        <w:gridCol w:w="170"/>
        <w:gridCol w:w="545"/>
        <w:gridCol w:w="170"/>
        <w:gridCol w:w="170"/>
        <w:gridCol w:w="530"/>
        <w:gridCol w:w="170"/>
        <w:gridCol w:w="170"/>
        <w:gridCol w:w="515"/>
        <w:gridCol w:w="170"/>
        <w:gridCol w:w="170"/>
        <w:gridCol w:w="530"/>
        <w:gridCol w:w="170"/>
        <w:gridCol w:w="170"/>
        <w:gridCol w:w="2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4"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center"/>
              <w:rPr>
                <w:color w:val="000000"/>
              </w:rPr>
            </w:pPr>
            <w:r>
              <w:rPr>
                <w:color w:val="000000"/>
              </w:rPr>
              <w:t> </w:t>
            </w:r>
          </w:p>
        </w:tc>
      </w:tr>
      <w:tr>
        <w:trPr/>
        <w:tc>
          <w:tcPr>
            <w:tcW w:w="18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430" w:type="dxa"/>
            <w:gridSpan w:val="4"/>
            <w:tcBorders>
              <w:bottom w:val="single" w:sz="8" w:space="0" w:color="000000"/>
            </w:tcBorders>
            <w:shd w:fill="D9D9D9" w:val="clear"/>
            <w:tcMar>
              <w:bottom w:w="44"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2026 </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415" w:type="dxa"/>
            <w:gridSpan w:val="4"/>
            <w:tcBorders>
              <w:bottom w:val="single" w:sz="8" w:space="0" w:color="000000"/>
            </w:tcBorders>
            <w:shd w:fill="D9D9D9" w:val="clear"/>
            <w:tcMar>
              <w:bottom w:w="44"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2025</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415" w:type="dxa"/>
            <w:gridSpan w:val="4"/>
            <w:tcBorders>
              <w:bottom w:val="single" w:sz="8" w:space="0" w:color="000000"/>
            </w:tcBorders>
            <w:shd w:fill="D9D9D9" w:val="clear"/>
            <w:tcMar>
              <w:bottom w:w="44"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2024</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415" w:type="dxa"/>
            <w:gridSpan w:val="4"/>
            <w:tcBorders>
              <w:bottom w:val="single" w:sz="8" w:space="0" w:color="000000"/>
            </w:tcBorders>
            <w:shd w:fill="D9D9D9" w:val="clear"/>
            <w:tcMar>
              <w:bottom w:w="44"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2023</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385" w:type="dxa"/>
            <w:gridSpan w:val="4"/>
            <w:tcBorders>
              <w:bottom w:val="single" w:sz="8" w:space="0" w:color="000000"/>
            </w:tcBorders>
            <w:shd w:fill="D9D9D9" w:val="clear"/>
            <w:tcMar>
              <w:bottom w:w="44"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2022 </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center"/>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4" w:type="dxa"/>
            </w:tcMar>
            <w:vAlign w:val="center"/>
          </w:tcPr>
          <w:p>
            <w:pPr>
              <w:pStyle w:val="TableContents"/>
              <w:bidi w:val="0"/>
              <w:spacing w:before="0" w:after="283"/>
              <w:jc w:val="center"/>
              <w:rPr>
                <w:rFonts w:ascii="Times New Roman;Times;serif" w:hAnsi="Times New Roman;Times;serif"/>
                <w:b/>
                <w:i/>
                <w:color w:val="000000"/>
                <w:sz w:val="15"/>
                <w:u w:val="single"/>
              </w:rPr>
            </w:pPr>
            <w:r>
              <w:rPr>
                <w:rFonts w:ascii="Times New Roman;Times;serif" w:hAnsi="Times New Roman;Times;serif"/>
                <w:b/>
                <w:i/>
                <w:color w:val="000000"/>
                <w:sz w:val="15"/>
                <w:u w:val="single"/>
              </w:rPr>
              <w:t>Figures reflected in $000s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D9D9D9" w:val="clear"/>
            <w:tcMar>
              <w:bottom w:w="44" w:type="dxa"/>
            </w:tcMar>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PEO</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D9D9D9" w:val="clear"/>
            <w:tcMar>
              <w:bottom w:w="44" w:type="dxa"/>
            </w:tcMar>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 xml:space="preserve">Average other </w:t>
            </w:r>
          </w:p>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NEOs</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D9D9D9" w:val="clear"/>
            <w:tcMar>
              <w:bottom w:w="44" w:type="dxa"/>
            </w:tcMar>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PEO</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30" w:type="dxa"/>
            <w:tcBorders>
              <w:bottom w:val="single" w:sz="8" w:space="0" w:color="000000"/>
            </w:tcBorders>
            <w:shd w:fill="D9D9D9" w:val="clear"/>
            <w:tcMar>
              <w:bottom w:w="44" w:type="dxa"/>
            </w:tcMar>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 xml:space="preserve">Average other </w:t>
            </w:r>
          </w:p>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NEOs</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D9D9D9" w:val="clear"/>
            <w:tcMar>
              <w:bottom w:w="44" w:type="dxa"/>
            </w:tcMar>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PEO</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30" w:type="dxa"/>
            <w:tcBorders>
              <w:bottom w:val="single" w:sz="8" w:space="0" w:color="000000"/>
            </w:tcBorders>
            <w:shd w:fill="D9D9D9" w:val="clear"/>
            <w:tcMar>
              <w:bottom w:w="44" w:type="dxa"/>
            </w:tcMar>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 xml:space="preserve">Average other </w:t>
            </w:r>
          </w:p>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NEOs</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D9D9D9" w:val="clear"/>
            <w:tcMar>
              <w:bottom w:w="44" w:type="dxa"/>
            </w:tcMar>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PEO</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30" w:type="dxa"/>
            <w:tcBorders>
              <w:bottom w:val="single" w:sz="8" w:space="0" w:color="000000"/>
            </w:tcBorders>
            <w:shd w:fill="D9D9D9" w:val="clear"/>
            <w:tcMar>
              <w:bottom w:w="44" w:type="dxa"/>
            </w:tcMar>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 xml:space="preserve">Average other </w:t>
            </w:r>
          </w:p>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NEOs</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D9D9D9" w:val="clear"/>
            <w:tcMar>
              <w:bottom w:w="44" w:type="dxa"/>
            </w:tcMar>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PEO</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30" w:type="dxa"/>
            <w:tcBorders>
              <w:bottom w:val="single" w:sz="8" w:space="0" w:color="000000"/>
            </w:tcBorders>
            <w:shd w:fill="D9D9D9" w:val="clear"/>
            <w:tcMar>
              <w:bottom w:w="44" w:type="dxa"/>
            </w:tcMar>
            <w:vAlign w:val="center"/>
          </w:tcPr>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 xml:space="preserve">Average other </w:t>
            </w:r>
          </w:p>
          <w:p>
            <w:pPr>
              <w:pStyle w:val="TableContents"/>
              <w:bidi w:val="0"/>
              <w:spacing w:before="0" w:after="283"/>
              <w:jc w:val="center"/>
              <w:rPr>
                <w:rFonts w:ascii="Times New Roman;Times;serif" w:hAnsi="Times New Roman;Times;serif"/>
                <w:color w:val="000000"/>
                <w:sz w:val="15"/>
              </w:rPr>
            </w:pPr>
            <w:r>
              <w:rPr>
                <w:rFonts w:ascii="Times New Roman;Times;serif" w:hAnsi="Times New Roman;Times;serif"/>
                <w:color w:val="000000"/>
                <w:sz w:val="15"/>
              </w:rPr>
              <w:t xml:space="preserve">NEOs </w:t>
            </w:r>
          </w:p>
        </w:tc>
        <w:tc>
          <w:tcPr>
            <w:tcW w:w="170" w:type="dxa"/>
            <w:tcBorders>
              <w:bottom w:val="single" w:sz="8" w:space="0" w:color="000000"/>
              <w:right w:val="single" w:sz="8" w:space="0" w:color="000000"/>
            </w:tcBorders>
            <w:shd w:fill="D9D9D9" w:val="clear"/>
            <w:tcMar>
              <w:bottom w:w="28" w:type="dxa"/>
              <w:right w:w="28" w:type="dxa"/>
            </w:tcMar>
            <w:vAlign w:val="center"/>
          </w:tcPr>
          <w:p>
            <w:pPr>
              <w:pStyle w:val="TableContents"/>
              <w:bidi w:val="0"/>
              <w:spacing w:before="0" w:after="0"/>
              <w:jc w:val="left"/>
              <w:rPr/>
            </w:pPr>
            <w:r>
              <w:rPr/>
              <w:t> </w:t>
            </w:r>
          </w:p>
        </w:tc>
        <w:tc>
          <w:tcPr>
            <w:tcW w:w="385" w:type="dxa"/>
            <w:gridSpan w:val="2"/>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Summary Comp. Table Total</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$14,741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186" w:right="0" w:hanging="0"/>
              <w:jc w:val="left"/>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sz w:val="15"/>
              </w:rPr>
              <w:t>4,084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$10,680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b/>
                <w:color w:val="000000"/>
                <w:sz w:val="15"/>
              </w:rPr>
            </w:pPr>
            <w:r>
              <w:rPr>
                <w:rFonts w:ascii="Times New Roman;Times;serif" w:hAnsi="Times New Roman;Times;serif"/>
                <w:b/>
                <w:color w:val="000000"/>
                <w:sz w:val="15"/>
              </w:rPr>
              <w:t>$2,972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 xml:space="preserve">$10,626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b/>
                <w:color w:val="000000"/>
                <w:sz w:val="15"/>
              </w:rPr>
            </w:pPr>
            <w:r>
              <w:rPr>
                <w:rFonts w:ascii="Times New Roman;Times;serif" w:hAnsi="Times New Roman;Times;serif"/>
                <w:b/>
                <w:color w:val="000000"/>
                <w:sz w:val="15"/>
              </w:rPr>
              <w:t xml:space="preserve">$3,067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 xml:space="preserve">$10,607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b/>
                <w:color w:val="000000"/>
                <w:sz w:val="15"/>
              </w:rPr>
            </w:pPr>
            <w:r>
              <w:rPr>
                <w:rFonts w:ascii="Times New Roman;Times;serif" w:hAnsi="Times New Roman;Times;serif"/>
                <w:b/>
                <w:color w:val="000000"/>
                <w:sz w:val="15"/>
              </w:rPr>
              <w:t xml:space="preserve">$2,932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 xml:space="preserve">$9,061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b/>
                <w:color w:val="000000"/>
                <w:sz w:val="15"/>
              </w:rPr>
            </w:pPr>
            <w:r>
              <w:rPr>
                <w:rFonts w:ascii="Times New Roman;Times;serif" w:hAnsi="Times New Roman;Times;serif"/>
                <w:b/>
                <w:color w:val="000000"/>
                <w:sz w:val="15"/>
              </w:rPr>
              <w:t xml:space="preserve">$2,862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Grant Date Fair Value of Current Fiscal Year Awards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9,648)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2,278)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7,348)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173" w:right="0" w:hanging="0"/>
              <w:jc w:val="left"/>
              <w:rPr>
                <w:rFonts w:ascii="Times New Roman;Times;serif" w:hAnsi="Times New Roman;Times;serif"/>
                <w:color w:val="000000"/>
                <w:sz w:val="15"/>
              </w:rPr>
            </w:pPr>
            <w:r>
              <w:rPr>
                <w:rFonts w:ascii="Times New Roman;Times;serif" w:hAnsi="Times New Roman;Times;serif"/>
                <w:color w:val="000000"/>
                <w:sz w:val="15"/>
              </w:rPr>
              <w:t>($1,531)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6,543)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173" w:right="0" w:hanging="0"/>
              <w:jc w:val="left"/>
              <w:rPr>
                <w:rFonts w:ascii="Times New Roman;Times;serif" w:hAnsi="Times New Roman;Times;serif"/>
                <w:color w:val="000000"/>
                <w:sz w:val="15"/>
              </w:rPr>
            </w:pPr>
            <w:r>
              <w:rPr>
                <w:rFonts w:ascii="Times New Roman;Times;serif" w:hAnsi="Times New Roman;Times;serif"/>
                <w:color w:val="000000"/>
                <w:sz w:val="15"/>
              </w:rPr>
              <w:t>($1,426)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6,337)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173" w:right="0" w:hanging="0"/>
              <w:jc w:val="left"/>
              <w:rPr>
                <w:rFonts w:ascii="Times New Roman;Times;serif" w:hAnsi="Times New Roman;Times;serif"/>
                <w:color w:val="000000"/>
                <w:sz w:val="15"/>
              </w:rPr>
            </w:pPr>
            <w:r>
              <w:rPr>
                <w:rFonts w:ascii="Times New Roman;Times;serif" w:hAnsi="Times New Roman;Times;serif"/>
                <w:color w:val="000000"/>
                <w:sz w:val="15"/>
              </w:rPr>
              <w:t>($1,348)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($5,377)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173"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($1,240)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Fair Value Current Fiscal Year Awards at Fiscal Year End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$30,948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18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7,298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$14,081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color w:val="000000"/>
                <w:sz w:val="15"/>
              </w:rPr>
            </w:pPr>
            <w:r>
              <w:rPr>
                <w:rFonts w:ascii="Times New Roman;Times;serif" w:hAnsi="Times New Roman;Times;serif"/>
                <w:color w:val="000000"/>
                <w:sz w:val="15"/>
              </w:rPr>
              <w:t>$2,121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$14,276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$3,104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7,469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$1,617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$5,129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$1,187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Change in Fair Value of Prior Fiscal Year Awards (Outstanding)</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$44,863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18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7,947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$22,704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color w:val="000000"/>
                <w:sz w:val="15"/>
              </w:rPr>
            </w:pPr>
            <w:r>
              <w:rPr>
                <w:rFonts w:ascii="Times New Roman;Times;serif" w:hAnsi="Times New Roman;Times;serif"/>
                <w:color w:val="000000"/>
                <w:sz w:val="15"/>
              </w:rPr>
              <w:t>$4,929</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$15,225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$3,341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6,468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$1,625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1,110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884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Change in Fair Value of Prior Fiscal Year Awards (Vested)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2,782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18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602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2,348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538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277)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173"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86)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385)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173"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316)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173"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15)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Dividends Accrued in Fiscal Year, not captured elsewhere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186"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257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57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195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51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106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color w:val="000000"/>
                <w:sz w:val="15"/>
              </w:rPr>
            </w:pPr>
            <w:r>
              <w:rPr>
                <w:rFonts w:ascii="Times New Roman;Times;serif" w:hAnsi="Times New Roman;Times;serif"/>
                <w:color w:val="000000"/>
                <w:sz w:val="15"/>
              </w:rPr>
              <w:t>$</w:t>
            </w:r>
            <w:r>
              <w:rPr>
                <w:rFonts w:ascii="Times New Roman;Times;serif" w:hAnsi="Times New Roman;Times;serif"/>
                <w:color w:val="000000"/>
                <w:sz w:val="15"/>
              </w:rPr>
              <w:t xml:space="preserve">34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Compensation Actually Paid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$83,686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186" w:right="0" w:hanging="0"/>
              <w:jc w:val="left"/>
              <w:rPr>
                <w:rFonts w:ascii="Times New Roman;Times;serif" w:hAnsi="Times New Roman;Times;serif"/>
                <w:b/>
                <w:color w:val="000000"/>
                <w:sz w:val="15"/>
              </w:rPr>
            </w:pPr>
            <w:r>
              <w:rPr>
                <w:rFonts w:ascii="Times New Roman;Times;serif" w:hAnsi="Times New Roman;Times;serif"/>
                <w:b/>
                <w:color w:val="000000"/>
                <w:sz w:val="15"/>
              </w:rPr>
              <w:t>$17,653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$42,465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b/>
                <w:color w:val="000000"/>
                <w:sz w:val="15"/>
              </w:rPr>
            </w:pPr>
            <w:r>
              <w:rPr>
                <w:rFonts w:ascii="Times New Roman;Times;serif" w:hAnsi="Times New Roman;Times;serif"/>
                <w:b/>
                <w:color w:val="000000"/>
                <w:sz w:val="15"/>
              </w:rPr>
              <w:t>$9,028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 xml:space="preserve">$33,565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b/>
                <w:color w:val="000000"/>
                <w:sz w:val="15"/>
              </w:rPr>
            </w:pPr>
            <w:r>
              <w:rPr>
                <w:rFonts w:ascii="Times New Roman;Times;serif" w:hAnsi="Times New Roman;Times;serif"/>
                <w:b/>
                <w:color w:val="000000"/>
                <w:sz w:val="15"/>
              </w:rPr>
              <w:t xml:space="preserve">$8,057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 xml:space="preserve">$18,018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b/>
                <w:color w:val="000000"/>
                <w:sz w:val="15"/>
              </w:rPr>
            </w:pPr>
            <w:r>
              <w:rPr>
                <w:rFonts w:ascii="Times New Roman;Times;serif" w:hAnsi="Times New Roman;Times;serif"/>
                <w:b/>
                <w:color w:val="000000"/>
                <w:sz w:val="15"/>
              </w:rPr>
              <w:t xml:space="preserve">$4,875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4"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 xml:space="preserve">$9,713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4" w:type="dxa"/>
            </w:tcMar>
            <w:vAlign w:val="center"/>
          </w:tcPr>
          <w:p>
            <w:pPr>
              <w:pStyle w:val="TableContents"/>
              <w:bidi w:val="0"/>
              <w:spacing w:before="0" w:after="283"/>
              <w:ind w:left="224" w:right="0" w:hanging="0"/>
              <w:jc w:val="left"/>
              <w:rPr>
                <w:rFonts w:ascii="Times New Roman;Times;serif" w:hAnsi="Times New Roman;Times;serif"/>
                <w:b/>
                <w:color w:val="000000"/>
                <w:sz w:val="15"/>
              </w:rPr>
            </w:pPr>
            <w:r>
              <w:rPr>
                <w:rFonts w:ascii="Times New Roman;Times;serif" w:hAnsi="Times New Roman;Times;serif"/>
                <w:b/>
                <w:color w:val="000000"/>
                <w:sz w:val="15"/>
              </w:rPr>
              <w:t>$3,712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865" w:type="dxa"/>
            <w:gridSpan w:val="14"/>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65" w:type="dxa"/>
            <w:gridSpan w:val="14"/>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the total compensation reported in the SCT for the applicable year for Mr. Rebelez as the PEO and the average of the total compensation reported in the SCT for the applicable year for each of the other NEOs listed in Footnote 1.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TSR, cumulative for the measurement periods beginning on May 1, 2021, and ending on each of April 30, 2022-2026, the last day of each fiscal year, respectively, calculated in accordance with Item 201(e) of Regulation S-K. “Peer Group” represents the S&amp;P 1500 Consumer Staples Sector Index (“CAP Peer Group”).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the “company selected measure.” EBITDA is a non-GAAP measure defined as net income before net interest expense, income taxes, depreciation and amortization. See Appendix A for reconciliation to net income.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12"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0" descr=""/>
                          <pic:cNvPicPr>
                            <a:picLocks noChangeAspect="1" noChangeArrowheads="1"/>
                          </pic:cNvPicPr>
                        </pic:nvPicPr>
                        <pic:blipFill>
                          <a:blip r:embed="rId111"/>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0" w:name="ny20072699x1_def14a_111-pvp_pg2"/>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Charts of CAP Versus Performance Metrics</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The chart below illustrates the relationship between the PEO and average Non-PEO CAP amounts and the Company’s and CAP Peer Group’s TSR during fiscal years 2022-2026.</w:t>
      </w:r>
    </w:p>
    <w:p>
      <w:pPr>
        <w:pStyle w:val="TextBody"/>
        <w:bidi w:val="0"/>
        <w:spacing w:before="355" w:after="283"/>
        <w:jc w:val="center"/>
        <w:rPr>
          <w:color w:val="000000"/>
        </w:rPr>
      </w:pPr>
      <w:r>
        <w:rPr>
          <w:color w:val="000000"/>
        </w:rPr>
        <w:drawing>
          <wp:inline distT="0" distB="0" distL="0" distR="0">
            <wp:extent cx="5457825" cy="2847975"/>
            <wp:effectExtent l="0" t="0" r="0" b="0"/>
            <wp:docPr id="11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1" descr=""/>
                    <pic:cNvPicPr>
                      <a:picLocks noChangeAspect="1" noChangeArrowheads="1"/>
                    </pic:cNvPicPr>
                  </pic:nvPicPr>
                  <pic:blipFill>
                    <a:blip r:embed="rId112"/>
                    <a:stretch>
                      <a:fillRect/>
                    </a:stretch>
                  </pic:blipFill>
                  <pic:spPr bwMode="auto">
                    <a:xfrm>
                      <a:off x="0" y="0"/>
                      <a:ext cx="5457825" cy="28479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charts below illustrate the relationship between the PEO and average Non-PEO CAP amounts and the Company’s net income and EBITDA during fiscal years 2022-2026. </w:t>
      </w:r>
    </w:p>
    <w:p>
      <w:pPr>
        <w:pStyle w:val="TextBody"/>
        <w:bidi w:val="0"/>
        <w:spacing w:before="355" w:after="283"/>
        <w:jc w:val="center"/>
        <w:rPr>
          <w:color w:val="000000"/>
        </w:rPr>
      </w:pPr>
      <w:r>
        <w:rPr>
          <w:color w:val="000000"/>
        </w:rPr>
        <w:drawing>
          <wp:inline distT="0" distB="0" distL="0" distR="0">
            <wp:extent cx="5457825" cy="2905125"/>
            <wp:effectExtent l="0" t="0" r="0" b="0"/>
            <wp:docPr id="114"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2" descr=""/>
                    <pic:cNvPicPr>
                      <a:picLocks noChangeAspect="1" noChangeArrowheads="1"/>
                    </pic:cNvPicPr>
                  </pic:nvPicPr>
                  <pic:blipFill>
                    <a:blip r:embed="rId113"/>
                    <a:stretch>
                      <a:fillRect/>
                    </a:stretch>
                  </pic:blipFill>
                  <pic:spPr bwMode="auto">
                    <a:xfrm>
                      <a:off x="0" y="0"/>
                      <a:ext cx="5457825" cy="29051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15"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3" descr=""/>
                          <pic:cNvPicPr>
                            <a:picLocks noChangeAspect="1" noChangeArrowheads="1"/>
                          </pic:cNvPicPr>
                        </pic:nvPicPr>
                        <pic:blipFill>
                          <a:blip r:embed="rId114"/>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1" w:name="ny20072699x1_def14a_111-pvp_pg3"/>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center"/>
        <w:rPr>
          <w:color w:val="000000"/>
        </w:rPr>
      </w:pPr>
      <w:r>
        <w:rPr>
          <w:color w:val="000000"/>
        </w:rPr>
        <w:drawing>
          <wp:inline distT="0" distB="0" distL="0" distR="0">
            <wp:extent cx="5505450" cy="2905125"/>
            <wp:effectExtent l="0" t="0" r="0" b="0"/>
            <wp:docPr id="116"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4" descr=""/>
                    <pic:cNvPicPr>
                      <a:picLocks noChangeAspect="1" noChangeArrowheads="1"/>
                    </pic:cNvPicPr>
                  </pic:nvPicPr>
                  <pic:blipFill>
                    <a:blip r:embed="rId115"/>
                    <a:stretch>
                      <a:fillRect/>
                    </a:stretch>
                  </pic:blipFill>
                  <pic:spPr bwMode="auto">
                    <a:xfrm>
                      <a:off x="0" y="0"/>
                      <a:ext cx="5505450" cy="29051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7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Performance Measures Used to Link Company Performance and CAP</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following table lists the performance measures that, in our assessment, represent the most important performance measures we used to link compensation actually paid to our NEOs to Company performance for the 2026 fiscal year. See the CD&amp;A for further details. </w:t>
      </w:r>
    </w:p>
    <w:tbl>
      <w:tblPr>
        <w:tblW w:w="6720" w:type="dxa"/>
        <w:jc w:val="left"/>
        <w:tblInd w:w="0" w:type="dxa"/>
        <w:tblLayout w:type="fixed"/>
        <w:tblCellMar>
          <w:top w:w="0" w:type="dxa"/>
          <w:left w:w="0" w:type="dxa"/>
          <w:bottom w:w="0" w:type="dxa"/>
          <w:right w:w="0" w:type="dxa"/>
        </w:tblCellMar>
      </w:tblPr>
      <w:tblGrid>
        <w:gridCol w:w="185"/>
        <w:gridCol w:w="710"/>
        <w:gridCol w:w="170"/>
        <w:gridCol w:w="170"/>
        <w:gridCol w:w="3110"/>
        <w:gridCol w:w="170"/>
        <w:gridCol w:w="170"/>
        <w:gridCol w:w="485"/>
        <w:gridCol w:w="170"/>
        <w:gridCol w:w="170"/>
        <w:gridCol w:w="995"/>
        <w:gridCol w:w="215"/>
      </w:tblGrid>
      <w:tr>
        <w:trPr/>
        <w:tc>
          <w:tcPr>
            <w:tcW w:w="185" w:type="dxa"/>
            <w:tcBorders/>
            <w:shd w:fill="D9D9D9" w:val="clear"/>
            <w:vAlign w:val="center"/>
          </w:tcPr>
          <w:p>
            <w:pPr>
              <w:pStyle w:val="TableContents"/>
              <w:bidi w:val="0"/>
              <w:spacing w:before="0" w:after="0"/>
              <w:jc w:val="left"/>
              <w:rPr/>
            </w:pPr>
            <w:r>
              <w:rPr/>
              <w:t> </w:t>
            </w:r>
          </w:p>
        </w:tc>
        <w:tc>
          <w:tcPr>
            <w:tcW w:w="6320" w:type="dxa"/>
            <w:gridSpan w:val="10"/>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6320" w:type="dxa"/>
            <w:gridSpan w:val="10"/>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Tabular List of Performance Measures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EBITDA</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1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Same-Store Sales Growth % (Inside Sales)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ROIC</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Relative TSR</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11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8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9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17"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5" descr=""/>
                          <pic:cNvPicPr>
                            <a:picLocks noChangeAspect="1" noChangeArrowheads="1"/>
                          </pic:cNvPicPr>
                        </pic:nvPicPr>
                        <pic:blipFill>
                          <a:blip r:embed="rId116"/>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2" w:name="ny20072699x1_def14a_112-equity_pg1"/>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bookmarkStart w:id="133" w:name="tECP"/>
      <w:bookmarkEnd w:id="133"/>
      <w:r>
        <w:rPr>
          <w:rFonts w:ascii="Times New Roman;Times;serif" w:hAnsi="Times New Roman;Times;serif"/>
          <w:b/>
          <w:color w:val="000000"/>
          <w:sz w:val="24"/>
          <w:u w:val="single"/>
        </w:rPr>
        <w:t>EQUITY COMPENSATION PLAN INFORMATION</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following table sets forth information concerning the shares of Common Stock that may be issued upon exercise of options, warrants and rights under all equity compensation plans as of April 30, 2026, which include the 2018 Stock Incentive Plan and the 2025 Stock Incentive Plan. All such plans have been approved by the shareholders. </w:t>
      </w:r>
    </w:p>
    <w:tbl>
      <w:tblPr>
        <w:tblW w:w="10205" w:type="dxa"/>
        <w:jc w:val="left"/>
        <w:tblInd w:w="0" w:type="dxa"/>
        <w:tblLayout w:type="fixed"/>
        <w:tblCellMar>
          <w:top w:w="0" w:type="dxa"/>
          <w:left w:w="0" w:type="dxa"/>
          <w:bottom w:w="0" w:type="dxa"/>
          <w:right w:w="0" w:type="dxa"/>
        </w:tblCellMar>
      </w:tblPr>
      <w:tblGrid>
        <w:gridCol w:w="4757"/>
        <w:gridCol w:w="170"/>
        <w:gridCol w:w="170"/>
        <w:gridCol w:w="1494"/>
        <w:gridCol w:w="170"/>
        <w:gridCol w:w="170"/>
        <w:gridCol w:w="1385"/>
        <w:gridCol w:w="170"/>
        <w:gridCol w:w="170"/>
        <w:gridCol w:w="1549"/>
      </w:tblGrid>
      <w:tr>
        <w:trPr/>
        <w:tc>
          <w:tcPr>
            <w:tcW w:w="47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9" w:type="dxa"/>
            <w:tcBorders/>
            <w:vAlign w:val="center"/>
          </w:tcPr>
          <w:p>
            <w:pPr>
              <w:pStyle w:val="TableContents"/>
              <w:bidi w:val="0"/>
              <w:spacing w:before="0" w:after="0"/>
              <w:jc w:val="left"/>
              <w:rPr/>
            </w:pPr>
            <w:r>
              <w:rPr/>
              <w:t> </w:t>
            </w:r>
          </w:p>
        </w:tc>
      </w:tr>
      <w:tr>
        <w:trPr/>
        <w:tc>
          <w:tcPr>
            <w:tcW w:w="4757" w:type="dxa"/>
            <w:tcBorders/>
            <w:vAlign w:val="center"/>
          </w:tcPr>
          <w:p>
            <w:pPr>
              <w:pStyle w:val="TableContents"/>
              <w:bidi w:val="0"/>
              <w:spacing w:before="0" w:after="283"/>
              <w:ind w:left="0" w:right="0" w:hanging="0"/>
              <w:jc w:val="left"/>
              <w:rPr>
                <w:rFonts w:ascii="Times New Roman;Times;serif" w:hAnsi="Times New Roman;Times;serif"/>
                <w:b/>
                <w:color w:val="000000"/>
                <w:sz w:val="16"/>
                <w:bdr w:val="single" w:sz="8" w:space="2" w:color="000000"/>
              </w:rPr>
            </w:pPr>
            <w:r>
              <w:rPr>
                <w:rFonts w:ascii="Times New Roman;Times;serif" w:hAnsi="Times New Roman;Times;serif"/>
                <w:b/>
                <w:color w:val="000000"/>
                <w:sz w:val="16"/>
                <w:bdr w:val="single" w:sz="8" w:space="2" w:color="000000"/>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be issued upon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 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rights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price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warrants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rights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 available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future issuance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 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 plans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(excluding 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reflected in column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w:t>
            </w:r>
          </w:p>
        </w:tc>
      </w:tr>
      <w:tr>
        <w:trPr/>
        <w:tc>
          <w:tcPr>
            <w:tcW w:w="475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 </w:t>
            </w:r>
          </w:p>
        </w:tc>
      </w:tr>
      <w:tr>
        <w:trPr/>
        <w:tc>
          <w:tcPr>
            <w:tcW w:w="47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94" w:type="dxa"/>
            <w:tcBorders/>
            <w:shd w:fill="CCEEFF" w:val="clear"/>
            <w:vAlign w:val="center"/>
          </w:tcPr>
          <w:p>
            <w:pPr>
              <w:pStyle w:val="TableContents"/>
              <w:bidi w:val="0"/>
              <w:spacing w:before="0" w:after="283"/>
              <w:ind w:left="398" w:right="0" w:hanging="0"/>
              <w:jc w:val="left"/>
              <w:rPr>
                <w:rFonts w:ascii="Times New Roman;Times;serif" w:hAnsi="Times New Roman;Times;serif"/>
                <w:color w:val="000000"/>
                <w:sz w:val="20"/>
              </w:rPr>
            </w:pPr>
            <w:r>
              <w:rPr>
                <w:rFonts w:ascii="Times New Roman;Times;serif" w:hAnsi="Times New Roman;Times;serif"/>
                <w:color w:val="000000"/>
                <w:sz w:val="20"/>
              </w:rPr>
              <w:t>474,383</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5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9" w:type="dxa"/>
            <w:tcBorders/>
            <w:shd w:fill="CCEEFF" w:val="clear"/>
            <w:vAlign w:val="center"/>
          </w:tcPr>
          <w:p>
            <w:pPr>
              <w:pStyle w:val="TableContents"/>
              <w:bidi w:val="0"/>
              <w:spacing w:before="0" w:after="283"/>
              <w:ind w:left="323" w:right="0" w:hanging="0"/>
              <w:jc w:val="left"/>
              <w:rPr>
                <w:rFonts w:ascii="Times New Roman;Times;serif" w:hAnsi="Times New Roman;Times;serif"/>
                <w:color w:val="000000"/>
                <w:sz w:val="20"/>
              </w:rPr>
            </w:pPr>
            <w:r>
              <w:rPr>
                <w:rFonts w:ascii="Times New Roman;Times;serif" w:hAnsi="Times New Roman;Times;serif"/>
                <w:color w:val="000000"/>
                <w:sz w:val="20"/>
              </w:rPr>
              <w:t>1,644,574</w:t>
            </w:r>
            <w:r>
              <w:rPr>
                <w:rFonts w:ascii="Times New Roman;Times;serif" w:hAnsi="Times New Roman;Times;serif"/>
                <w:color w:val="000000"/>
                <w:position w:val="7"/>
                <w:sz w:val="16"/>
                <w:sz w:val="20"/>
              </w:rPr>
              <w:t>(2)</w:t>
            </w:r>
            <w:r>
              <w:rPr>
                <w:rFonts w:ascii="Times New Roman;Times;serif" w:hAnsi="Times New Roman;Times;serif"/>
                <w:color w:val="000000"/>
                <w:sz w:val="20"/>
              </w:rPr>
              <w:t xml:space="preserve"> </w:t>
            </w:r>
          </w:p>
        </w:tc>
      </w:tr>
      <w:tr>
        <w:trPr/>
        <w:tc>
          <w:tcPr>
            <w:tcW w:w="47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4" w:type="dxa"/>
            <w:tcBorders/>
            <w:vAlign w:val="center"/>
          </w:tcPr>
          <w:p>
            <w:pPr>
              <w:pStyle w:val="TableContents"/>
              <w:bidi w:val="0"/>
              <w:spacing w:before="0" w:after="283"/>
              <w:ind w:left="398"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518"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9" w:type="dxa"/>
            <w:tcBorders/>
            <w:vAlign w:val="center"/>
          </w:tcPr>
          <w:p>
            <w:pPr>
              <w:pStyle w:val="TableContents"/>
              <w:bidi w:val="0"/>
              <w:spacing w:before="0" w:after="283"/>
              <w:ind w:left="323" w:right="0" w:hanging="0"/>
              <w:jc w:val="left"/>
              <w:rPr>
                <w:color w:val="000000"/>
                <w:bdr w:val="single" w:sz="8" w:space="2" w:color="000000"/>
              </w:rPr>
            </w:pPr>
            <w:r>
              <w:rPr>
                <w:color w:val="000000"/>
                <w:bdr w:val="single" w:sz="8" w:space="2" w:color="000000"/>
              </w:rPr>
              <w:t xml:space="preserve">— </w:t>
            </w:r>
          </w:p>
        </w:tc>
      </w:tr>
      <w:tr>
        <w:trPr/>
        <w:tc>
          <w:tcPr>
            <w:tcW w:w="47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94" w:type="dxa"/>
            <w:tcBorders/>
            <w:shd w:fill="CCEEFF" w:val="clear"/>
            <w:vAlign w:val="center"/>
          </w:tcPr>
          <w:p>
            <w:pPr>
              <w:pStyle w:val="TableContents"/>
              <w:bidi w:val="0"/>
              <w:spacing w:before="0" w:after="283"/>
              <w:ind w:left="398"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474,383</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518" w:right="0" w:hanging="0"/>
              <w:jc w:val="left"/>
              <w:rPr>
                <w:color w:val="000000"/>
                <w:bdr w:val="double" w:sz="8" w:space="1" w:color="000000"/>
              </w:rPr>
            </w:pPr>
            <w:r>
              <w:rPr>
                <w:color w:val="000000"/>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9" w:type="dxa"/>
            <w:tcBorders/>
            <w:shd w:fill="CCEEFF" w:val="clear"/>
            <w:vAlign w:val="center"/>
          </w:tcPr>
          <w:p>
            <w:pPr>
              <w:pStyle w:val="TableContents"/>
              <w:bidi w:val="0"/>
              <w:spacing w:before="0" w:after="283"/>
              <w:ind w:left="323"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1,644,574</w:t>
            </w:r>
            <w:r>
              <w:rPr>
                <w:rFonts w:ascii="Times New Roman;Times;serif" w:hAnsi="Times New Roman;Times;serif"/>
                <w:color w:val="000000"/>
                <w:position w:val="7"/>
                <w:sz w:val="16"/>
                <w:sz w:val="20"/>
              </w:rPr>
              <w:t>(2)</w:t>
            </w:r>
          </w:p>
        </w:tc>
      </w:tr>
      <w:tr>
        <w:trPr/>
        <w:tc>
          <w:tcPr>
            <w:tcW w:w="475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9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9"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2025 Stock Incentive Plan (the “2025 Plan”) was approved by the Company’s shareholders at its 2025 annual shareholders’ meeting. It replaced and superseded the 2018 Stock Incentive Plan, under which no new awards could be granted as of its date of approval. The amount set forth above represents unvested RSU and PSU grants made under these plans. No stock options have been granted under either plan, and as such, none were outstanding as of April 30, 2026.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represents shares of Common Stock available for issuance under the 2025 Plan. Awards available for issuance include stock options, stock appreciation rights, restricted stock, restricted stock units and other equity-based and equity-related awards, as defined in the 2025 Plan.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18"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6" descr=""/>
                          <pic:cNvPicPr>
                            <a:picLocks noChangeAspect="1" noChangeArrowheads="1"/>
                          </pic:cNvPicPr>
                        </pic:nvPicPr>
                        <pic:blipFill>
                          <a:blip r:embed="rId117"/>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4" w:name="ny20072699x1_def14a_112-equity_pg2"/>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bookmarkStart w:id="135" w:name="tDC"/>
      <w:bookmarkEnd w:id="135"/>
      <w:r>
        <w:rPr>
          <w:rFonts w:ascii="Times New Roman;Times;serif" w:hAnsi="Times New Roman;Times;serif"/>
          <w:b/>
          <w:color w:val="000000"/>
          <w:sz w:val="24"/>
          <w:u w:val="single"/>
        </w:rPr>
        <w:t>DIRECTOR COMPENSATION</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Compensation Committee reviews director compensation regularly and seeks to compensate our directors in a manner that attracts and retains highly qualified directors and aligns the interests of our directors with those of our shareholders. Consistent with that objective, the Committee aims to position total direct compensation at approximately the median of the compensation peers used for benchmarking the pay of its NEOs, as well as other companies from across industries of similar size. Further, directors are provided a mix of cash and equity compensation generally reflecting the typical practices of those companies. Finally, the Committee recognizes the responsibilities of directors with additional duties (e.g., committee chairs, etc.) by paying them supplemental retainers generally consistent with those paid to directors in similar roles at other companies.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compensation program compensates our directors for their Board service for the period between the Company’s annual shareholders’ meetings, which are typically held around the first week in September of each year. Directors elected to the Board or appointed to committees or chair positions after the start of such period, receive prorated compensation. Only non-employee directors receive compensation for their service on the Board.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During the 2026 fiscal year, the Committee, with the assistance of Pearl Meyer, conducted a compensation market assessment for the Lead Independent Director position. As a result, the annual cash retainer for the Lead Independent Director was increased from $40,000 to $80,000, which the Committee believes is consistent with its market assessment and the position’s robust duties. The other components of director compensation remained unchanged for the 2026 fiscal year.</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As such, during the 2026 fiscal year, each non-employee director received an annual Board retainer with a total value of $265,000, consisting of $100,000 in cash and $165,000 in equity. An additional cash retainer was also paid to each individual committee chair/member, and the Lead Independent Director, as follows:</w:t>
      </w:r>
    </w:p>
    <w:tbl>
      <w:tblPr>
        <w:tblW w:w="6425" w:type="dxa"/>
        <w:jc w:val="left"/>
        <w:tblInd w:w="0" w:type="dxa"/>
        <w:tblLayout w:type="fixed"/>
        <w:tblCellMar>
          <w:top w:w="0" w:type="dxa"/>
          <w:left w:w="0" w:type="dxa"/>
          <w:bottom w:w="0" w:type="dxa"/>
          <w:right w:w="0" w:type="dxa"/>
        </w:tblCellMar>
      </w:tblPr>
      <w:tblGrid>
        <w:gridCol w:w="4205"/>
        <w:gridCol w:w="170"/>
        <w:gridCol w:w="170"/>
        <w:gridCol w:w="725"/>
        <w:gridCol w:w="170"/>
        <w:gridCol w:w="170"/>
        <w:gridCol w:w="815"/>
      </w:tblGrid>
      <w:tr>
        <w:trPr/>
        <w:tc>
          <w:tcPr>
            <w:tcW w:w="4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4205" w:type="dxa"/>
            <w:tcBorders/>
            <w:vAlign w:val="center"/>
          </w:tcPr>
          <w:p>
            <w:pPr>
              <w:pStyle w:val="TableContents"/>
              <w:bidi w:val="0"/>
              <w:spacing w:before="0" w:after="283"/>
              <w:ind w:left="0" w:right="0" w:hanging="0"/>
              <w:jc w:val="left"/>
              <w:rPr>
                <w:rFonts w:ascii="Times New Roman;Times;serif" w:hAnsi="Times New Roman;Times;serif"/>
                <w:b/>
                <w:color w:val="000000"/>
                <w:sz w:val="16"/>
                <w:bdr w:val="single" w:sz="8" w:space="2" w:color="000000"/>
              </w:rPr>
            </w:pPr>
            <w:r>
              <w:rPr>
                <w:rFonts w:ascii="Times New Roman;Times;serif" w:hAnsi="Times New Roman;Times;serif"/>
                <w:b/>
                <w:color w:val="000000"/>
                <w:sz w:val="16"/>
                <w:bdr w:val="single" w:sz="8" w:space="2" w:color="000000"/>
              </w:rPr>
              <w:t>Committee Retainers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Member </w:t>
            </w:r>
          </w:p>
        </w:tc>
      </w:tr>
      <w:tr>
        <w:trPr/>
        <w:tc>
          <w:tcPr>
            <w:tcW w:w="4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$15,000 </w:t>
            </w:r>
          </w:p>
        </w:tc>
      </w:tr>
      <w:tr>
        <w:trPr/>
        <w:tc>
          <w:tcPr>
            <w:tcW w:w="4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 </w:t>
            </w:r>
          </w:p>
        </w:tc>
      </w:tr>
      <w:tr>
        <w:trPr/>
        <w:tc>
          <w:tcPr>
            <w:tcW w:w="42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Corporate Governance Committee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8,000 </w:t>
            </w:r>
          </w:p>
        </w:tc>
      </w:tr>
      <w:tr>
        <w:trPr/>
        <w:tc>
          <w:tcPr>
            <w:tcW w:w="42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42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u w:val="single"/>
              </w:rPr>
            </w:pPr>
            <w:r>
              <w:rPr>
                <w:rFonts w:ascii="Times New Roman;Times;serif" w:hAnsi="Times New Roman;Times;serif"/>
                <w:b/>
                <w:color w:val="000000"/>
                <w:sz w:val="16"/>
                <w:u w:val="single"/>
              </w:rPr>
              <w:t>LID Retainer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r>
      <w:tr>
        <w:trPr/>
        <w:tc>
          <w:tcPr>
            <w:tcW w:w="4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Lead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4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Cash retainer fees are paid on a quarterly basis, in advance. The equity portion is granted on an annual basis at the time of our annual shareholders’ meeting in the form of time-based RSUs, with the actual number of units granted calculated using the Company’s 20-day average closing price as of the award date, similar to the approach used to determine the equity awards of our of NEOs and other recipients. The RSUs vest at our next annual shareholders’ meeting, subject to each director’s continued service as a director. In addition, the RSUs will accrue dividend equivalents which will be paid in cash if, and only to the extent that, the applicable vesting requirements have been met (no payment will be made for RSUs that do not vest).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Our directors also receive the following benefits: (i) reimbursement for travel and other necessary business expenses related to their service as a director; (ii) coverage under the Company’s group life insurance plan, with coverages of up to $50,000 (or for Ms. Heiden, $32,500) for each non-employee director; and (iii) reimbursement up to a maximum of $10,000 per year for costs associated with continuing education relating to corporate governance and other Board-related matters.</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19"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7" descr=""/>
                          <pic:cNvPicPr>
                            <a:picLocks noChangeAspect="1" noChangeArrowheads="1"/>
                          </pic:cNvPicPr>
                        </pic:nvPicPr>
                        <pic:blipFill>
                          <a:blip r:embed="rId118"/>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6" w:name="ny20072699x1_def14a_112-equity_pg3"/>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following table summarizes the compensation paid to the Company’s non-employee directors during the 2026 fiscal year: </w:t>
      </w:r>
    </w:p>
    <w:p>
      <w:pPr>
        <w:pStyle w:val="TextBody"/>
        <w:bidi w:val="0"/>
        <w:spacing w:before="290" w:after="283"/>
        <w:jc w:val="center"/>
        <w:rPr>
          <w:rFonts w:ascii="Times New Roman;Times;serif" w:hAnsi="Times New Roman;Times;serif"/>
          <w:b/>
          <w:color w:val="000000"/>
          <w:sz w:val="20"/>
        </w:rPr>
      </w:pPr>
      <w:bookmarkStart w:id="137" w:name="tDCT"/>
      <w:bookmarkEnd w:id="137"/>
      <w:r>
        <w:rPr>
          <w:rFonts w:ascii="Times New Roman;Times;serif" w:hAnsi="Times New Roman;Times;serif"/>
          <w:b/>
          <w:color w:val="000000"/>
          <w:sz w:val="20"/>
          <w:u w:val="single"/>
        </w:rPr>
        <w:t>Director Compensation Table</w:t>
      </w:r>
      <w:r>
        <w:rPr>
          <w:rFonts w:ascii="Times New Roman;Times;serif" w:hAnsi="Times New Roman;Times;serif"/>
          <w:b/>
          <w:color w:val="000000"/>
          <w:sz w:val="20"/>
        </w:rPr>
        <w:t xml:space="preserve"> </w:t>
      </w:r>
    </w:p>
    <w:tbl>
      <w:tblPr>
        <w:tblW w:w="7040" w:type="dxa"/>
        <w:jc w:val="left"/>
        <w:tblInd w:w="0" w:type="dxa"/>
        <w:tblLayout w:type="fixed"/>
        <w:tblCellMar>
          <w:top w:w="0" w:type="dxa"/>
          <w:left w:w="0" w:type="dxa"/>
          <w:bottom w:w="0" w:type="dxa"/>
          <w:right w:w="0" w:type="dxa"/>
        </w:tblCellMar>
      </w:tblPr>
      <w:tblGrid>
        <w:gridCol w:w="1910"/>
        <w:gridCol w:w="170"/>
        <w:gridCol w:w="170"/>
        <w:gridCol w:w="935"/>
        <w:gridCol w:w="170"/>
        <w:gridCol w:w="170"/>
        <w:gridCol w:w="830"/>
        <w:gridCol w:w="170"/>
        <w:gridCol w:w="170"/>
        <w:gridCol w:w="1085"/>
        <w:gridCol w:w="170"/>
        <w:gridCol w:w="170"/>
        <w:gridCol w:w="920"/>
      </w:tblGrid>
      <w:tr>
        <w:trPr/>
        <w:tc>
          <w:tcPr>
            <w:tcW w:w="19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b/>
                <w:color w:val="000000"/>
                <w:sz w:val="16"/>
                <w:bdr w:val="single" w:sz="8" w:space="2" w:color="000000"/>
              </w:rPr>
            </w:pPr>
            <w:r>
              <w:rPr>
                <w:rFonts w:ascii="Times New Roman;Times;serif" w:hAnsi="Times New Roman;Times;serif"/>
                <w:b/>
                <w:color w:val="000000"/>
                <w:sz w:val="16"/>
                <w:bdr w:val="single" w:sz="8" w:space="2" w:color="00000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Fees Earned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 Paid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 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Sri Donthi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$277,501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Donald E. Frieson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$272,501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Cara K. Heiden</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$123,750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$286,218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K. Lenhardt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$282,501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Maria Castañón Moats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$123,750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$286,251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Larree M. Renda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$108,000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$270,501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Judy K. Schmeling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$178,000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$340,501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Spanos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$277,501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Stanley J. Sutula III</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5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A. Trojan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$287,501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Allison M. Wing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$272,501</w:t>
            </w:r>
          </w:p>
        </w:tc>
      </w:tr>
      <w:tr>
        <w:trPr/>
        <w:tc>
          <w:tcPr>
            <w:tcW w:w="19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Each non-employee director received $25,000 quarterly for their cash retainer plus certain additional cash retainers for service on committees as members and chairs and for service as Lead Independent Director (as to Ms. Schmeling), as noted above.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At the end of the 2026 fiscal year, each non-employee director, other than Mr. Sutula (who was elected to the Board after the end of the 2026 fiscal year) held 326 RSUs, which will cliff-vest on the date of the 2026 Annual Meeting, subject, in each case, to continued service as a director. The actual value, if any, that is realized from an RSU award will depend on the market price of Common Stock on the applicable vesting date. For information about the financial reporting of the RSUs granted in the 2026 fiscal year, see Footnotes 1 and 4 to the Company’s consolidated financial statements included in the Company’s Form 10-K filing with respect to the 2026 fiscal year. </w:t>
            </w:r>
          </w:p>
        </w:tc>
      </w:tr>
    </w:tbl>
    <w:tbl>
      <w:tblPr>
        <w:tblW w:w="5125" w:type="dxa"/>
        <w:jc w:val="left"/>
        <w:tblInd w:w="0" w:type="dxa"/>
        <w:tblLayout w:type="fixed"/>
        <w:tblCellMar>
          <w:top w:w="0" w:type="dxa"/>
          <w:left w:w="0" w:type="dxa"/>
          <w:bottom w:w="0" w:type="dxa"/>
          <w:right w:w="0" w:type="dxa"/>
        </w:tblCellMar>
      </w:tblPr>
      <w:tblGrid>
        <w:gridCol w:w="260"/>
        <w:gridCol w:w="48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included in this column represent life insurance premiums. </w:t>
            </w:r>
          </w:p>
        </w:tc>
      </w:tr>
    </w:tbl>
    <w:tbl>
      <w:tblPr>
        <w:tblW w:w="8275" w:type="dxa"/>
        <w:jc w:val="left"/>
        <w:tblInd w:w="0" w:type="dxa"/>
        <w:tblLayout w:type="fixed"/>
        <w:tblCellMar>
          <w:top w:w="0" w:type="dxa"/>
          <w:left w:w="0" w:type="dxa"/>
          <w:bottom w:w="0" w:type="dxa"/>
          <w:right w:w="0" w:type="dxa"/>
        </w:tblCellMar>
      </w:tblPr>
      <w:tblGrid>
        <w:gridCol w:w="260"/>
        <w:gridCol w:w="80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80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Heiden is retiring from the Board effective as of the 2026 Annual Meeting and is not standing for re-election.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Sutula was elected to the Board on June 4, 2026, after the end of the Company’s 2026 fiscal year. He holds 51 RSUs which will cliff-vest on the date of the 2026 Annual Meeting. </w:t>
            </w:r>
          </w:p>
        </w:tc>
      </w:tr>
    </w:tbl>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Since the end of the 2026 fiscal year, the Committee, with the assistance of Pearl Meyer, also conducted a compensation market assessment for director compensation, including the annual cash and equity retainers, and the additional retainers paid for committee service. As a result of the assessment, and in an effort to maintain average total director compensation at or near the market median, the Committee made the following changes, effective as of the date of the 2026 annual meeting: (i) increased the annual Board cash retainer by $10,000, from $100,000 to $110,000, (ii) increased the annual Board equity retainer by $15,000, from $165,000 to $180,000, (iii) increased the annual Nominating and Corporate Governance Committee member and chair retainer by $2,000, from $8,000 to $10,000, and $20,000 to $22,000, respectively, and (iv) increased the annual Compensation and Human Capital Committee member and chair retainer by $2,500, from $10,000 to $12,500, and $25,000 to $27,500, respectively. With these changes, the new average total director compensation, which is assessed every other year (it will be assessed again in 2028) is 104% of the market median, consistent with the Committee’s philosophy for director compensation. </w:t>
      </w:r>
    </w:p>
    <w:p>
      <w:pPr>
        <w:pStyle w:val="TextBody"/>
        <w:bidi w:val="0"/>
        <w:spacing w:before="290" w:after="283"/>
        <w:ind w:left="0" w:right="0" w:hanging="0"/>
        <w:jc w:val="left"/>
        <w:rPr>
          <w:rFonts w:ascii="Times New Roman;Times;serif" w:hAnsi="Times New Roman;Times;serif"/>
          <w:b/>
          <w:color w:val="000000"/>
          <w:sz w:val="19"/>
        </w:rPr>
      </w:pPr>
      <w:bookmarkStart w:id="138" w:name="tCR"/>
      <w:bookmarkEnd w:id="138"/>
      <w:r>
        <w:rPr>
          <w:rFonts w:ascii="Times New Roman;Times;serif" w:hAnsi="Times New Roman;Times;serif"/>
          <w:b/>
          <w:color w:val="000000"/>
          <w:sz w:val="19"/>
          <w:u w:val="single"/>
        </w:rPr>
        <w:t>Certain Relationships and Related Transactions</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Company has a written policy requiring the disclosure to and approval by the Audit Committee of certain “related party transactions” in which the Company is a participant that may be required to be disclosed under Item 404 of Regulation S-K. For this purpose, “related parties” include all directors, executive officers and any director nominee (and their immediate family members), and any holder of more than 5% of the Common Stock (and their immediate family members). For the purposes of the Company’s policy, a “related party transaction” generally is any transaction in which (i) the aggregate amount involved will or may be expected to exceed $120,000 in any fiscal year, (ii) the Company is a participant, and (iii) any “related party” has or will have a direct or indirect material interest, in each case, subject to certain pre-approved exceptions set forth in the policy.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Under the policy, the Audit Committee will review the material facts of all related party transactions that require the Committee’s approval and either approve or disapprove of the same, or if advance approval is not feasible, consider whether to ratify the same. In determining whether to approve or ratify a related party transaction, the Audit Committee will take into account, among other factors it deems appropriate, whether the transaction is in the best interests of the Company, whether it is on non-preferential terms, and the extent of the related party’s interest in the transaction. No director may participate in any discussion or approval of a transaction for which he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20"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8" descr=""/>
                          <pic:cNvPicPr>
                            <a:picLocks noChangeAspect="1" noChangeArrowheads="1"/>
                          </pic:cNvPicPr>
                        </pic:nvPicPr>
                        <pic:blipFill>
                          <a:blip r:embed="rId119"/>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9" w:name="ny20072699x1_def14a_112-equity_pg4"/>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or she is a related party, except that the director must provide all material information concerning the transaction to the Audit Committee. The Audit Committee will report its action with respect to any related party transaction to the Board. The Audit Committee did not review or approve any related party transactions during the 2026 fiscal year.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 1997, the Company established a Non-Qualified Supplemental Executive Retirement Plan (“SERP”) for the benefit of specified officers at the time, including Ronald M. Lamb, its former President and CEO. The SERP provides for the payment of an annual retirement benefit to the specified officers for the earlier of a period of 20 years or until their death, after which such benefits are to be paid, in each case, to the officer’s spouse for a period ending on the 20th anniversary of the officer’s retirement or the spouse’s death, whichever occurs first. Mr. Lamb’s spouse participates in the SERP and receives an annual retirement benefit of $350,000, which payments will expire in 2028.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Under the employment agreement with our former CEO and Board Chair, Robert J. Myers, commencing on January 1, 2017, and continuing for a period until the earlier of ten years thereafter or the death of Mr. Myers and his spouse, the Company will pay an annual retirement benefit to Mr. Myers (or his spouse, in the event of his death during said period) equal to $330,000 per year.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21"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9" descr=""/>
                          <pic:cNvPicPr>
                            <a:picLocks noChangeAspect="1" noChangeArrowheads="1"/>
                          </pic:cNvPicPr>
                        </pic:nvPicPr>
                        <pic:blipFill>
                          <a:blip r:embed="rId120"/>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0" w:name="ny20072699x1_def14a_113-report_pg1"/>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u w:val="single"/>
        </w:rPr>
      </w:pPr>
      <w:bookmarkStart w:id="141" w:name="tROA"/>
      <w:bookmarkEnd w:id="141"/>
      <w:r>
        <w:rPr>
          <w:rFonts w:ascii="Times New Roman;Times;serif" w:hAnsi="Times New Roman;Times;serif"/>
          <w:b/>
          <w:color w:val="000000"/>
          <w:sz w:val="24"/>
          <w:u w:val="single"/>
        </w:rPr>
        <w:t xml:space="preserve">REPORT OF THE AUDIT COMMITTEE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u w:val="single"/>
        </w:rPr>
        <w:t>OF THE BOARD OF DIRECTORS</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Audit Committee operates under a Charter approved by the Board of Directors. All members of the Audit Committee are “independent,” as defined by the SEC as well as the applicable Nasdaq Listing Standards.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Audit Committee reviews the Company’s financial reporting process, including internal control over financial reporting, on behalf of the Board of Directors. Management has the primary responsibility for the financial statements and the reporting process, including the system of internal controls. The Company’s independent registered public accounting firm, KPMG LLP (“KPMG”), is responsible for expressing an opinion as to the fairness of the financial statements and the conformity of those audited financial statements with U.S. generally accepted accounting principles. Additionally, KPMG expresses an opinion on whether the Company maintained, in all material respects, effective internal control over financial reporting.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 this context, the Audit Committee has met and held discussions with management, internal audit, and KPMG. Management represented to the Committee that the Company’s audited consolidated financial statements were prepared in accordance with U.S. generally accepted accounting principles, and the Committee has reviewed and discussed the audited consolidated financial statements with management and KPMG. The Committee also discussed with KPMG matters required to be discussed by the applicable requirements of the Public Company Accounting Oversight Board (“PCAOB”) and the SEC. The Committee also has received and reviewed written disclosures and the letter from KPMG related to independence as required by the applicable requirements of the PCAOB, has discussed with KPMG the firm’s independence, and has considered whether the provision of non-audit services by KPMG, and the fees paid for such services, are compatible with maintaining its independence.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 reliance on the reviews and discussions referred to above, the Committee recommended to the Board of Directors that the audited financial statements be included in the Company’s Annual Report on Form 10-K for the year ended April 30, 2026. </w:t>
      </w:r>
    </w:p>
    <w:p>
      <w:pPr>
        <w:pStyle w:val="TextBody"/>
        <w:bidi w:val="0"/>
        <w:spacing w:before="220" w:after="283"/>
        <w:ind w:left="5600" w:right="0" w:hanging="0"/>
        <w:jc w:val="left"/>
        <w:rPr>
          <w:rFonts w:ascii="Times New Roman;Times;serif" w:hAnsi="Times New Roman;Times;serif"/>
          <w:b/>
          <w:color w:val="000000"/>
          <w:sz w:val="19"/>
        </w:rPr>
      </w:pPr>
      <w:r>
        <w:rPr>
          <w:rFonts w:ascii="Times New Roman;Times;serif" w:hAnsi="Times New Roman;Times;serif"/>
          <w:b/>
          <w:color w:val="000000"/>
          <w:sz w:val="19"/>
        </w:rPr>
        <w:t>AUDIT COMMITTEE</w:t>
      </w:r>
    </w:p>
    <w:p>
      <w:pPr>
        <w:pStyle w:val="TextBody"/>
        <w:bidi w:val="0"/>
        <w:spacing w:before="0" w:after="283"/>
        <w:ind w:left="5600" w:right="0" w:hanging="0"/>
        <w:jc w:val="left"/>
        <w:rPr>
          <w:color w:val="000000"/>
        </w:rPr>
      </w:pPr>
      <w:r>
        <w:rPr>
          <w:color w:val="000000"/>
        </w:rPr>
        <w:t xml:space="preserve">  </w:t>
      </w:r>
    </w:p>
    <w:p>
      <w:pPr>
        <w:pStyle w:val="TextBody"/>
        <w:bidi w:val="0"/>
        <w:spacing w:before="0" w:after="283"/>
        <w:ind w:left="560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 xml:space="preserve">Maria Castañón Moats, Chair </w:t>
      </w:r>
    </w:p>
    <w:p>
      <w:pPr>
        <w:pStyle w:val="TextBody"/>
        <w:bidi w:val="0"/>
        <w:spacing w:before="0" w:after="283"/>
        <w:ind w:left="560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 xml:space="preserve">Sri Donthi </w:t>
      </w:r>
    </w:p>
    <w:p>
      <w:pPr>
        <w:pStyle w:val="TextBody"/>
        <w:bidi w:val="0"/>
        <w:spacing w:before="0" w:after="283"/>
        <w:ind w:left="560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 xml:space="preserve">Cara K. Heiden </w:t>
      </w:r>
    </w:p>
    <w:p>
      <w:pPr>
        <w:pStyle w:val="TextBody"/>
        <w:bidi w:val="0"/>
        <w:spacing w:before="0" w:after="283"/>
        <w:ind w:left="560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 xml:space="preserve">Michael Spanos </w:t>
      </w:r>
    </w:p>
    <w:p>
      <w:pPr>
        <w:pStyle w:val="TextBody"/>
        <w:bidi w:val="0"/>
        <w:spacing w:before="0" w:after="283"/>
        <w:ind w:left="560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 xml:space="preserve">Stanley J. Sutula III </w:t>
      </w:r>
    </w:p>
    <w:p>
      <w:pPr>
        <w:pStyle w:val="TextBody"/>
        <w:bidi w:val="0"/>
        <w:spacing w:before="180" w:after="283"/>
        <w:ind w:left="0" w:right="0" w:firstLine="400"/>
        <w:jc w:val="left"/>
        <w:rPr>
          <w:rFonts w:ascii="Times New Roman;Times;serif" w:hAnsi="Times New Roman;Times;serif"/>
          <w:i/>
          <w:color w:val="000000"/>
          <w:sz w:val="19"/>
        </w:rPr>
      </w:pPr>
      <w:r>
        <w:rPr>
          <w:rFonts w:ascii="Times New Roman;Times;serif" w:hAnsi="Times New Roman;Times;serif"/>
          <w:i/>
          <w:color w:val="000000"/>
          <w:sz w:val="19"/>
        </w:rPr>
        <w:t>Notwithstanding anything to the contrary set forth in any of the Company’s previous or future filings under the Securities Act, or the Exchange Act, that might incorporate by reference this Proxy Statement or future filings made by the Company under those statutes, the Audit Committee Report is not deemed filed with the SEC and shall not be deemed incorporated by reference into any of those prior filings or into any future filings made by the Company under those statutes.</w:t>
      </w:r>
      <w:r>
        <w:rPr>
          <w:rFonts w:ascii="Times New Roman;Times;serif" w:hAnsi="Times New Roman;Times;serif"/>
          <w:i/>
          <w:caps w:val="false"/>
          <w:smallCaps w:val="false"/>
          <w:color w:val="000000"/>
          <w:sz w:val="19"/>
        </w:rPr>
        <w:t xml:space="preserve">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22"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0" descr=""/>
                          <pic:cNvPicPr>
                            <a:picLocks noChangeAspect="1" noChangeArrowheads="1"/>
                          </pic:cNvPicPr>
                        </pic:nvPicPr>
                        <pic:blipFill>
                          <a:blip r:embed="rId121"/>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2" w:name="ny20072699x1_def14a_114-prop2_pg1"/>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u w:val="single"/>
        </w:rPr>
      </w:pPr>
      <w:bookmarkStart w:id="143" w:name="tPROP2"/>
      <w:bookmarkEnd w:id="143"/>
      <w:r>
        <w:rPr>
          <w:rFonts w:ascii="Times New Roman;Times;serif" w:hAnsi="Times New Roman;Times;serif"/>
          <w:b/>
          <w:color w:val="000000"/>
          <w:sz w:val="24"/>
          <w:u w:val="single"/>
        </w:rPr>
        <w:t xml:space="preserve">PROPOSAL 2: RATIFICATION OF APPOINTMENT OF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u w:val="single"/>
        </w:rPr>
        <w:t>INDEPENDENT REGISTERED PUBLIC ACCOUNTING FIRM</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Subject to shareholder ratification, the Audit Committee has appointed KPMG to audit the consolidated financial statements of the Company for the 2027 fiscal year. The Company has used KPMG (and its predecessor firms) as the Company’s independent registered public accounting firm since 1987. Ratification requires the affirmative vote of a majority of the votes cast on the matter at the Annual Meeting. Abstentions will not be counted as votes cast for such purposes and therefore will have no effect on the results of the vote. If the shareholders do not ratify this appointment, the Audit Committee will consider the matter of the appointment of the independent registered public accounting firm. </w:t>
      </w:r>
    </w:p>
    <w:p>
      <w:pPr>
        <w:pStyle w:val="TextBody"/>
        <w:bidi w:val="0"/>
        <w:spacing w:before="22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Board of Directors recommends that shareholders vote FOR such ratification.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Representatives of KPMG will be present at the Annual Meeting, will be given an opportunity to make a statement if they so desire and will be available to respond to appropriate questions relating to the audit. </w:t>
      </w:r>
    </w:p>
    <w:p>
      <w:pPr>
        <w:pStyle w:val="TextBody"/>
        <w:bidi w:val="0"/>
        <w:spacing w:before="280" w:after="283"/>
        <w:ind w:left="0" w:right="0" w:hanging="0"/>
        <w:jc w:val="left"/>
        <w:rPr>
          <w:rFonts w:ascii="Times New Roman;Times;serif" w:hAnsi="Times New Roman;Times;serif"/>
          <w:b/>
          <w:color w:val="000000"/>
          <w:sz w:val="19"/>
        </w:rPr>
      </w:pPr>
      <w:bookmarkStart w:id="144" w:name="tIAF"/>
      <w:bookmarkEnd w:id="144"/>
      <w:r>
        <w:rPr>
          <w:rFonts w:ascii="Times New Roman;Times;serif" w:hAnsi="Times New Roman;Times;serif"/>
          <w:b/>
          <w:color w:val="000000"/>
          <w:sz w:val="19"/>
          <w:u w:val="single"/>
        </w:rPr>
        <w:t>Independent Auditor Fees</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following table sets forth the aggregate fees billed to the Company and subsidiaries for the last two fiscal years ended April 30, 2026, and April 30, 2025, by the Company’s independent registered public accounting firm, KPMG: </w:t>
      </w:r>
    </w:p>
    <w:tbl>
      <w:tblPr>
        <w:tblW w:w="4355" w:type="dxa"/>
        <w:jc w:val="left"/>
        <w:tblInd w:w="0" w:type="dxa"/>
        <w:tblLayout w:type="fixed"/>
        <w:tblCellMar>
          <w:top w:w="0" w:type="dxa"/>
          <w:left w:w="0" w:type="dxa"/>
          <w:bottom w:w="0" w:type="dxa"/>
          <w:right w:w="0" w:type="dxa"/>
        </w:tblCellMar>
      </w:tblPr>
      <w:tblGrid>
        <w:gridCol w:w="1625"/>
        <w:gridCol w:w="170"/>
        <w:gridCol w:w="170"/>
        <w:gridCol w:w="980"/>
        <w:gridCol w:w="170"/>
        <w:gridCol w:w="170"/>
        <w:gridCol w:w="1070"/>
      </w:tblGrid>
      <w:tr>
        <w:trPr/>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16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r>
              <w:rPr>
                <w:rFonts w:ascii="Times New Roman;Times;serif" w:hAnsi="Times New Roman;Time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$1,985,000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$2,155,000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11,259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26,967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$1,780 </w:t>
            </w:r>
          </w:p>
        </w:tc>
      </w:tr>
      <w:tr>
        <w:trPr/>
        <w:tc>
          <w:tcPr>
            <w:tcW w:w="162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$1,998,039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$2,183,747</w:t>
            </w:r>
          </w:p>
        </w:tc>
      </w:tr>
      <w:tr>
        <w:trPr/>
        <w:tc>
          <w:tcPr>
            <w:tcW w:w="16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Audit fees primarily relate to (i) the audit of our consolidated financial statements for the indicated fiscal years, (ii) the audit of the effectiveness of internal control over financial reporting in accordance with Section 404 of the Sarbanes-Oxley Act of 2002, (iii) the reviews of our unaudited consolidated condensed interim financial statements during the indicated fiscal years, and (iv) for 2025, incremental audit services in connection with an acquisition. </w:t>
            </w:r>
          </w:p>
        </w:tc>
      </w:tr>
    </w:tbl>
    <w:tbl>
      <w:tblPr>
        <w:tblW w:w="4450" w:type="dxa"/>
        <w:jc w:val="left"/>
        <w:tblInd w:w="0" w:type="dxa"/>
        <w:tblLayout w:type="fixed"/>
        <w:tblCellMar>
          <w:top w:w="0" w:type="dxa"/>
          <w:left w:w="0" w:type="dxa"/>
          <w:bottom w:w="0" w:type="dxa"/>
          <w:right w:w="0" w:type="dxa"/>
        </w:tblCellMar>
      </w:tblPr>
      <w:tblGrid>
        <w:gridCol w:w="260"/>
        <w:gridCol w:w="419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Tax fees primarily relate to fees for general tax consulting. </w:t>
            </w:r>
          </w:p>
        </w:tc>
      </w:tr>
    </w:tbl>
    <w:tbl>
      <w:tblPr>
        <w:tblW w:w="5020" w:type="dxa"/>
        <w:jc w:val="left"/>
        <w:tblInd w:w="0" w:type="dxa"/>
        <w:tblLayout w:type="fixed"/>
        <w:tblCellMar>
          <w:top w:w="0" w:type="dxa"/>
          <w:left w:w="0" w:type="dxa"/>
          <w:bottom w:w="0" w:type="dxa"/>
          <w:right w:w="0" w:type="dxa"/>
        </w:tblCellMar>
      </w:tblPr>
      <w:tblGrid>
        <w:gridCol w:w="260"/>
        <w:gridCol w:w="47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7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other fees relate to costs for an online accounting research tool. </w:t>
            </w:r>
          </w:p>
        </w:tc>
      </w:tr>
    </w:tbl>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chair of the Audit Committee has advised the Board that the Audit Committee has determined the non-audit services rendered by KPMG during the Company’s most recent year are compatible with maintaining the independence of the auditors.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Prior to the issuance of its audit report, KPMG communicated (i) its responsibility under existing auditing standards generally accepted in the United States of America, (ii) all critical accounting policies and practices used by the Company, and (iii) other significant written communication between KPMG and management of the Company. </w:t>
      </w:r>
    </w:p>
    <w:p>
      <w:pPr>
        <w:pStyle w:val="TextBody"/>
        <w:bidi w:val="0"/>
        <w:spacing w:before="280" w:after="283"/>
        <w:ind w:left="0" w:right="0" w:hanging="0"/>
        <w:jc w:val="left"/>
        <w:rPr>
          <w:rFonts w:ascii="Times New Roman;Times;serif" w:hAnsi="Times New Roman;Times;serif"/>
          <w:b/>
          <w:color w:val="000000"/>
          <w:sz w:val="19"/>
        </w:rPr>
      </w:pPr>
      <w:bookmarkStart w:id="145" w:name="tPRE"/>
      <w:bookmarkEnd w:id="145"/>
      <w:r>
        <w:rPr>
          <w:rFonts w:ascii="Times New Roman;Times;serif" w:hAnsi="Times New Roman;Times;serif"/>
          <w:b/>
          <w:color w:val="000000"/>
          <w:sz w:val="19"/>
          <w:u w:val="single"/>
        </w:rPr>
        <w:t>Pre-Approval Procedures</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Under its charter, the Audit Committee shall pre-approve all audit and any permitted non-audit services provided to the Company by the independent registered public accounting firm and the fees to be paid for those services. The Audit Committee may delegate authority to subcommittees (consisting of one or more members) or the Audit Committee Chair to grant pre-approvals of certain audit and permitted non-audit services, provided that decisions of such subcommittee or the Audit Committee Chair to grant pre-approvals are presented to the full Audit Committee at its next scheduled meeting. All of the services provided by the independent registered public accounting firm to the Company during the 2026 fiscal year were pre-approved by the Audit Committee or its Chair pursuant to delegated authority. </w:t>
      </w:r>
    </w:p>
    <w:p>
      <w:pPr>
        <w:pStyle w:val="TextBody"/>
        <w:bidi w:val="0"/>
        <w:spacing w:before="220" w:after="283"/>
        <w:jc w:val="center"/>
        <w:rPr>
          <w:rFonts w:ascii="Times New Roman;Times;serif" w:hAnsi="Times New Roman;Times;serif"/>
          <w:color w:val="000000"/>
          <w:sz w:val="19"/>
        </w:rPr>
      </w:pPr>
      <w:r>
        <w:rPr>
          <w:rFonts w:ascii="Times New Roman;Times;serif" w:hAnsi="Times New Roman;Times;serif"/>
          <w:color w:val="000000"/>
          <w:sz w:val="19"/>
        </w:rPr>
        <w:t xml:space="preserve">*THE BOARD UNANIMOUSLY RECOMMENDS THAT YOU VOTE </w:t>
      </w:r>
      <w:r>
        <w:rPr>
          <w:rFonts w:ascii="Times New Roman;Times;serif" w:hAnsi="Times New Roman;Times;serif"/>
          <w:b/>
          <w:i/>
          <w:color w:val="000000"/>
          <w:sz w:val="19"/>
          <w:u w:val="single"/>
        </w:rPr>
        <w:t>FOR</w:t>
      </w:r>
      <w:r>
        <w:rPr>
          <w:rFonts w:ascii="Times New Roman;Times;serif" w:hAnsi="Times New Roman;Times;serif"/>
          <w:color w:val="000000"/>
          <w:sz w:val="19"/>
        </w:rPr>
        <w:t xml:space="preserve"> THE RATIFICATION OF THE </w:t>
      </w:r>
    </w:p>
    <w:p>
      <w:pPr>
        <w:pStyle w:val="TextBody"/>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APPOINTMENT OF OUR INDEPENDENT REGISTERED PUBLIC ACCOUNTING FIRM*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23"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1" descr=""/>
                          <pic:cNvPicPr>
                            <a:picLocks noChangeAspect="1" noChangeArrowheads="1"/>
                          </pic:cNvPicPr>
                        </pic:nvPicPr>
                        <pic:blipFill>
                          <a:blip r:embed="rId122"/>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6" w:name="ny20072699x1_def14a_115-prop3_pg1"/>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u w:val="single"/>
        </w:rPr>
      </w:pPr>
      <w:bookmarkStart w:id="147" w:name="tPROP3"/>
      <w:bookmarkEnd w:id="147"/>
      <w:r>
        <w:rPr>
          <w:rFonts w:ascii="Times New Roman;Times;serif" w:hAnsi="Times New Roman;Times;serif"/>
          <w:b/>
          <w:color w:val="000000"/>
          <w:sz w:val="24"/>
          <w:u w:val="single"/>
        </w:rPr>
        <w:t xml:space="preserve">PROPOSAL 3: ADVISORY VOTE ON OUR NAMED </w:t>
      </w:r>
    </w:p>
    <w:p>
      <w:pPr>
        <w:pStyle w:val="TextBody"/>
        <w:bidi w:val="0"/>
        <w:spacing w:before="0" w:after="283"/>
        <w:jc w:val="center"/>
        <w:rPr>
          <w:rFonts w:ascii="Times New Roman;Times;serif" w:hAnsi="Times New Roman;Times;serif"/>
          <w:b/>
          <w:color w:val="000000"/>
          <w:sz w:val="24"/>
          <w:u w:val="single"/>
        </w:rPr>
      </w:pPr>
      <w:r>
        <w:rPr>
          <w:rFonts w:ascii="Times New Roman;Times;serif" w:hAnsi="Times New Roman;Times;serif"/>
          <w:b/>
          <w:color w:val="000000"/>
          <w:sz w:val="24"/>
          <w:u w:val="single"/>
        </w:rPr>
        <w:t xml:space="preserve">EXECUTIVE OFFICER COMPENSATION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Board is committed to strong compensation governance and recognizes the significant interest of shareholders in executive compensation matters. We provide our shareholders annually with an opportunity to cast an advisory vote regarding the compensation of our named executive officers (“NEOs”), as disclosed in this Proxy Statement. This “say-on-pay” proposal is intended to provide shareholders with the opportunity to express their views on our compensation decisions and policies regarding our NEOs. In prior years, our shareholders have expressed strong support through this “say-on-pay” vote, including at our annual shareholders’ meeting in September 2025, at which our NEOs’ compensation received approval of 98% of the votes cast.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As described in the section named “Compensation Discussion and Analysis”, our executive compensation program is designed to closely align the interests of our NEOs with the interests of shareholders, and to balance long-term performance with shorter-term goals. The program maintains a strong link between executive pay and our long-term financial performance, including by subjecting 75% of annual long-term incentive compensation to achievement of performance goals over a three-year period. The Compensation Committee believes its compensation decisions for the 2026 fiscal year appropriately compensate the NEOs for the Company’s performance and are closely aligned with the long-term interests of our shareholders.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 view of the foregoing and in accordance with Section 14A of the Exchange Act, the Company is asking shareholders to approve the following resolution: </w:t>
      </w:r>
    </w:p>
    <w:p>
      <w:pPr>
        <w:pStyle w:val="TextBody"/>
        <w:bidi w:val="0"/>
        <w:spacing w:before="18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RESOLVED, that the shareholders approve, on an advisory basis, the compensation of the Company’s named executive officers described in the Proxy Statement for the 2026 annual shareholders’ meeting, including the Compensation Discussion and Analysis, the compensation tables, and the narrative executive compensation disclosures contained in the Proxy Statement.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Shareholders may vote FOR, AGAINST or ABSTAIN on this item. Because your vote is advisory, it will not be binding on the Company and will not overrule any decision by the Board or require the Board to take any particular action. However, the Board values the views of shareholders on executive compensation matters and will consider the outcome of this vote when considering future executive compensation arrangements for the NEOs. </w:t>
      </w:r>
    </w:p>
    <w:p>
      <w:pPr>
        <w:pStyle w:val="TextBody"/>
        <w:bidi w:val="0"/>
        <w:spacing w:before="220" w:after="283"/>
        <w:jc w:val="center"/>
        <w:rPr>
          <w:rFonts w:ascii="Times New Roman;Times;serif" w:hAnsi="Times New Roman;Times;serif"/>
          <w:color w:val="000000"/>
          <w:sz w:val="19"/>
        </w:rPr>
      </w:pPr>
      <w:r>
        <w:rPr>
          <w:rFonts w:ascii="Times New Roman;Times;serif" w:hAnsi="Times New Roman;Times;serif"/>
          <w:color w:val="000000"/>
          <w:sz w:val="19"/>
        </w:rPr>
        <w:t xml:space="preserve">*THE BOARD UNANIMOUSLY RECOMMENDS THAT YOU VOTE </w:t>
      </w:r>
      <w:r>
        <w:rPr>
          <w:rFonts w:ascii="Times New Roman;Times;serif" w:hAnsi="Times New Roman;Times;serif"/>
          <w:b/>
          <w:i/>
          <w:color w:val="000000"/>
          <w:sz w:val="19"/>
          <w:u w:val="single"/>
        </w:rPr>
        <w:t>FOR</w:t>
      </w:r>
      <w:r>
        <w:rPr>
          <w:rFonts w:ascii="Times New Roman;Times;serif" w:hAnsi="Times New Roman;Times;serif"/>
          <w:color w:val="000000"/>
          <w:sz w:val="19"/>
        </w:rPr>
        <w:t xml:space="preserve"> THIS ADVISORY </w:t>
      </w:r>
    </w:p>
    <w:p>
      <w:pPr>
        <w:pStyle w:val="TextBody"/>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RESOLUTION ON OUR NAMED EXECUTIVE OFFICER COMPENSATION*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24"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2" descr=""/>
                          <pic:cNvPicPr>
                            <a:picLocks noChangeAspect="1" noChangeArrowheads="1"/>
                          </pic:cNvPicPr>
                        </pic:nvPicPr>
                        <pic:blipFill>
                          <a:blip r:embed="rId123"/>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8" w:name="ny20072699x1_def14a_116-prop4_pg1"/>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bookmarkStart w:id="149" w:name="tPROP4"/>
      <w:bookmarkEnd w:id="149"/>
      <w:r>
        <w:rPr>
          <w:rFonts w:ascii="Times New Roman;Times;serif" w:hAnsi="Times New Roman;Times;serif"/>
          <w:b/>
          <w:color w:val="000000"/>
          <w:sz w:val="24"/>
          <w:u w:val="single"/>
        </w:rPr>
        <w:t>PROPOSAL 4: SHAREHOLDER PROPOSAL</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Company has received notice of the intention of The Accountability Board, Inc. to present the following proposal for voting at the Annual Meeting. The proponents’ addresses and numbers of shares held may be obtained upon request to our Corporate Secretary. In accordance with SEC rules, the following text of the proposal is presented exactly as it was submitted to the Company. </w:t>
      </w:r>
    </w:p>
    <w:p>
      <w:pPr>
        <w:pStyle w:val="TextBody"/>
        <w:bidi w:val="0"/>
        <w:spacing w:before="220" w:after="283"/>
        <w:jc w:val="center"/>
        <w:rPr>
          <w:rFonts w:ascii="Times New Roman;Times;serif" w:hAnsi="Times New Roman;Times;serif"/>
          <w:color w:val="000000"/>
          <w:sz w:val="19"/>
        </w:rPr>
      </w:pPr>
      <w:r>
        <w:rPr>
          <w:rFonts w:ascii="Times New Roman;Times;serif" w:hAnsi="Times New Roman;Times;serif"/>
          <w:color w:val="000000"/>
          <w:sz w:val="19"/>
        </w:rPr>
        <w:t xml:space="preserve">* * * * * </w:t>
      </w:r>
    </w:p>
    <w:p>
      <w:pPr>
        <w:pStyle w:val="TextBody"/>
        <w:bidi w:val="0"/>
        <w:spacing w:before="18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 xml:space="preserve">RESOLVED: </w:t>
      </w:r>
      <w:r>
        <w:rPr>
          <w:rFonts w:ascii="Times New Roman;Times;serif" w:hAnsi="Times New Roman;Times;serif"/>
          <w:b w:val="false"/>
          <w:color w:val="000000"/>
          <w:sz w:val="19"/>
        </w:rPr>
        <w:t xml:space="preserve">Shareholders ask the Board to take the steps necessary to amend the Bylaws (and other governing documents as necessary) to authorize shareholders with an aggregate of at least 15% of outstanding common stock the power to call special meetings of shareholders. </w:t>
      </w:r>
    </w:p>
    <w:p>
      <w:pPr>
        <w:pStyle w:val="TextBody"/>
        <w:bidi w:val="0"/>
        <w:spacing w:before="28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DEAR FELLOW SHAREHOLDERS: </w:t>
      </w:r>
    </w:p>
    <w:p>
      <w:pPr>
        <w:pStyle w:val="TextBody"/>
        <w:bidi w:val="0"/>
        <w:spacing w:before="20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right for stockholders to call special meetings is an important aspect of good corporate governance.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Iowa law (under which Casey’s is incorporated) grants the right to call special meetings of publicly traded companies to the holders of 50% of voting shares. But that threshold is much higher than experts agree it should be. Fortunately, Iowa law provides other options, including that such companies must hold a special meeting if called for by “persons authorized” by the Bylaws to do so—which means Casey’s </w:t>
      </w:r>
      <w:r>
        <w:rPr>
          <w:rFonts w:ascii="Times New Roman;Times;serif" w:hAnsi="Times New Roman;Times;serif"/>
          <w:i/>
          <w:color w:val="000000"/>
          <w:sz w:val="19"/>
        </w:rPr>
        <w:t xml:space="preserve">could </w:t>
      </w:r>
      <w:r>
        <w:rPr>
          <w:rFonts w:ascii="Times New Roman;Times;serif" w:hAnsi="Times New Roman;Times;serif"/>
          <w:color w:val="000000"/>
          <w:sz w:val="19"/>
        </w:rPr>
        <w:t xml:space="preserve">authorize a lower threshold of shareholders to call special meetings. Its failure to do so is what this proposal seeks to change. </w:t>
      </w:r>
    </w:p>
    <w:p>
      <w:pPr>
        <w:pStyle w:val="TextBody"/>
        <w:bidi w:val="0"/>
        <w:spacing w:before="22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Specifically, a 10 – 15% threshold is widely supported.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For example, BlackRock’s proxy voting guidelines state shareholders should have the right to call a special meeting in cases where a reasonably high proportion of shareholders—“typically a minimum of 15%”— agree to such a meeting before it’s called.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Institutional Shareholder Services (ISS) will generally support proposals “that provide shareholders with the ability to call special meetings” and says its preference is a 10% threshold.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And Glass Lewis “strongly supports the right of shareholders to call special meetings” and “generally prefer[s] to see a 10-15% special meeting threshold.”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We acknowledge that special shareholder meetings are extraordinary events that should be held only when strategic concerns or other considerations require that the matters to be addressed not be delayed until the next annual meeting. And because special meetings can be expensive and time-consuming, we also believe that too small percentage of shareholders should not be entitled to utilize the right to call a special meeting for their own interests, which may not be shared by the majority of shareholders.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 this case, we believe implementing an ownership threshold of 15% to call special meetings in the Bylaws would be appropriate based on the Company’s size and shareholder composition, as it would provide the shareholders with a meaningful right to request a special meeting, while mitigating the risk that corporate resources are wasted to serve narrow self-interests of a few minority stockholders.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To be clear, if this proposal is approved, shareholders’ right to call special meetings will improve while the Board retains its ability to do so as well. And based on the foregoing, we believe support for the request is clearly warranted. Thank you.</w:t>
      </w:r>
    </w:p>
    <w:p>
      <w:pPr>
        <w:pStyle w:val="TextBody"/>
        <w:bidi w:val="0"/>
        <w:spacing w:before="345" w:after="283"/>
        <w:jc w:val="center"/>
        <w:rPr>
          <w:color w:val="000000"/>
        </w:rPr>
      </w:pPr>
      <w:r>
        <w:rPr>
          <w:color w:val="000000"/>
        </w:rPr>
        <w:drawing>
          <wp:inline distT="0" distB="0" distL="0" distR="0">
            <wp:extent cx="6219825" cy="476250"/>
            <wp:effectExtent l="0" t="0" r="0" b="0"/>
            <wp:docPr id="125"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3" descr=""/>
                    <pic:cNvPicPr>
                      <a:picLocks noChangeAspect="1" noChangeArrowheads="1"/>
                    </pic:cNvPicPr>
                  </pic:nvPicPr>
                  <pic:blipFill>
                    <a:blip r:embed="rId124"/>
                    <a:stretch>
                      <a:fillRect/>
                    </a:stretch>
                  </pic:blipFill>
                  <pic:spPr bwMode="auto">
                    <a:xfrm>
                      <a:off x="0" y="0"/>
                      <a:ext cx="6219825" cy="4762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10" w:after="283"/>
        <w:jc w:val="center"/>
        <w:rPr>
          <w:rFonts w:ascii="Times New Roman;Times;serif" w:hAnsi="Times New Roman;Times;serif"/>
          <w:color w:val="000000"/>
          <w:sz w:val="19"/>
        </w:rPr>
      </w:pPr>
      <w:r>
        <w:rPr>
          <w:rFonts w:ascii="Times New Roman;Times;serif" w:hAnsi="Times New Roman;Times;serif"/>
          <w:color w:val="000000"/>
          <w:sz w:val="19"/>
        </w:rPr>
        <w:t xml:space="preserve">* * * * *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26"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4" descr=""/>
                          <pic:cNvPicPr>
                            <a:picLocks noChangeAspect="1" noChangeArrowheads="1"/>
                          </pic:cNvPicPr>
                        </pic:nvPicPr>
                        <pic:blipFill>
                          <a:blip r:embed="rId125"/>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0" w:name="ny20072699x1_def14a_116-prop4_pg2"/>
        <w:bookmarkEnd w:id="150"/>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The Company’s Statement in Opposition</w:t>
      </w:r>
      <w:r>
        <w:rPr>
          <w:rFonts w:ascii="Times New Roman;Times;serif" w:hAnsi="Times New Roman;Times;serif"/>
          <w:b/>
          <w:color w:val="000000"/>
          <w:sz w:val="19"/>
        </w:rPr>
        <w:t xml:space="preserve"> </w:t>
      </w:r>
    </w:p>
    <w:p>
      <w:pPr>
        <w:pStyle w:val="TextBody"/>
        <w:bidi w:val="0"/>
        <w:spacing w:before="14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The Board unanimously recommends a vote </w:t>
      </w:r>
      <w:r>
        <w:rPr>
          <w:rFonts w:ascii="Times New Roman;Times;serif" w:hAnsi="Times New Roman;Times;serif"/>
          <w:b/>
          <w:i/>
          <w:color w:val="000000"/>
          <w:sz w:val="19"/>
          <w:u w:val="single"/>
        </w:rPr>
        <w:t>AGAINST</w:t>
      </w:r>
      <w:r>
        <w:rPr>
          <w:rFonts w:ascii="Times New Roman;Times;serif" w:hAnsi="Times New Roman;Times;serif"/>
          <w:b/>
          <w:i/>
          <w:color w:val="000000"/>
          <w:sz w:val="19"/>
        </w:rPr>
        <w:t xml:space="preserve"> </w:t>
      </w:r>
      <w:r>
        <w:rPr>
          <w:rFonts w:ascii="Times New Roman;Times;serif" w:hAnsi="Times New Roman;Times;serif"/>
          <w:b/>
          <w:color w:val="000000"/>
          <w:sz w:val="19"/>
        </w:rPr>
        <w:t xml:space="preserve">this proposal for the following reasons: </w:t>
      </w:r>
    </w:p>
    <w:p>
      <w:pPr>
        <w:pStyle w:val="TextBody"/>
        <w:bidi w:val="0"/>
        <w:spacing w:before="14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The Board Recently Lowered its Special Meeting Threshold to 25% of Outstanding Shares</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Board regularly evaluates our corporate governance practices, including through benchmarking of other companies of our size and profile, from feedback received during the Company’s regular shareholder engagement, through its own experiences, and otherwise. As a result, on June 4, 2026, the Board, based on the recommendation of its Nominating &amp; Corporate Governance Committee, approved an amendment to the Company’s bylaws to lower its existing special meeting threshold from 50% of outstanding shares to 25% of outstanding shares, which the Board believes strikes an appropriate balance between shareholder rights and protecting the long-term interests of the Company and its shareholders. </w:t>
      </w:r>
    </w:p>
    <w:p>
      <w:pPr>
        <w:pStyle w:val="TextBody"/>
        <w:bidi w:val="0"/>
        <w:spacing w:before="24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Our 25% Threshold Strikes an Appropriate Balance of Facilitating Shareholder Engagement While Maintaining Procedural Safeguards Against Misuse of the Special Meeting Process by a Small Number of Shareholders</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Board believes the Company’s existing 25% threshold to call a special meeting strikes the appropriate balance between ensuring shareholders have the ability to call a special meeting to act on extraordinary or urgent matters, on one hand, and preventing the potential abuse and disruption caused by permitting a small number of shareholders to call special meetings to advance private agendas or interests that our broader shareholders base may not share.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Board does not believe a 15% ownership threshold, as encouraged by the proponent and included in this proposal, reflects prevailing market practice of the S&amp;P 500 nor does it strike the appropriate balance between shareholder rights and the long-term interests of the Company and its shareholders. In fact, a 15% threshold could permit as few as two or three shareholders alone to exert disproportionate influence and impose significant costs and disruption on the Company in the pursuit of narrow or short-term interests. The overuse or abuse of special meetings can also divert management and Board attention from the oversight and execution of the Company’s long-term, strategic objectives, and as such, should be reserved for extraordinary circumstances, when a more meaningful percentage of shareholders agree that it is necessary to address urgent matters that cannot reasonably wait until the Company’s next annual shareholders’ meeting. </w:t>
      </w:r>
    </w:p>
    <w:p>
      <w:pPr>
        <w:pStyle w:val="TextBody"/>
        <w:bidi w:val="0"/>
        <w:spacing w:before="28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u w:val="single"/>
        </w:rPr>
        <w:t>The Company Has Many Strong Corporate Governance Practices That Give our Shareholders a Voice</w:t>
      </w:r>
      <w:r>
        <w:rPr>
          <w:rFonts w:ascii="Times New Roman;Times;serif" w:hAnsi="Times New Roman;Times;serif"/>
          <w:b/>
          <w:color w:val="000000"/>
          <w:sz w:val="19"/>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 addition to the above, the Company has a long-standing commitment to corporate governance practices that ensure that all shareholders have meaningful opportunities to have a voice in the Company’s governance and strategic direction without imposing the burdens and risks associated with frequent special meetings, including but not limited to: (i) annual elections for all directors, each subject to a majority voting standard in uncontested elections, (ii) only one class of voting securities, (iii) regular and intentional shareholder engagement to discuss business strategies, performance, and when necessary or desired, corporate governance and other issues, (iv) proxy access consistent with market practice (i.e., a 3/3/20/20 structure), (v) the existing right of shareholders to act by written consent, and (vi) the existing right of shareholders to call special meetings with a 25% threshold. </w:t>
      </w:r>
    </w:p>
    <w:p>
      <w:pPr>
        <w:pStyle w:val="TextBody"/>
        <w:bidi w:val="0"/>
        <w:spacing w:before="22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For these reasons, we recommend a vote </w:t>
      </w:r>
      <w:r>
        <w:rPr>
          <w:rFonts w:ascii="Times New Roman;Times;serif" w:hAnsi="Times New Roman;Times;serif"/>
          <w:i/>
          <w:color w:val="000000"/>
          <w:sz w:val="19"/>
        </w:rPr>
        <w:t>against</w:t>
      </w:r>
      <w:r>
        <w:rPr>
          <w:rFonts w:ascii="Times New Roman;Times;serif" w:hAnsi="Times New Roman;Times;serif"/>
          <w:color w:val="000000"/>
          <w:sz w:val="19"/>
        </w:rPr>
        <w:t xml:space="preserve"> this proposal. </w:t>
      </w:r>
    </w:p>
    <w:p>
      <w:pPr>
        <w:pStyle w:val="TextBody"/>
        <w:bidi w:val="0"/>
        <w:spacing w:before="220" w:after="283"/>
        <w:jc w:val="center"/>
        <w:rPr>
          <w:rFonts w:ascii="Times New Roman;Times;serif" w:hAnsi="Times New Roman;Times;serif"/>
          <w:color w:val="000000"/>
          <w:sz w:val="19"/>
        </w:rPr>
      </w:pPr>
      <w:r>
        <w:rPr>
          <w:rFonts w:ascii="Times New Roman;Times;serif" w:hAnsi="Times New Roman;Times;serif"/>
          <w:color w:val="000000"/>
          <w:sz w:val="19"/>
        </w:rPr>
        <w:t xml:space="preserve">*THE BOARD UNANIMOUSLY RECOMMENDS THAT YOU VOTE </w:t>
      </w:r>
      <w:r>
        <w:rPr>
          <w:rFonts w:ascii="Times New Roman;Times;serif" w:hAnsi="Times New Roman;Times;serif"/>
          <w:b/>
          <w:i/>
          <w:color w:val="000000"/>
          <w:sz w:val="19"/>
          <w:u w:val="single"/>
        </w:rPr>
        <w:t>AGAINST</w:t>
      </w:r>
      <w:r>
        <w:rPr>
          <w:rFonts w:ascii="Times New Roman;Times;serif" w:hAnsi="Times New Roman;Times;serif"/>
          <w:b/>
          <w:i/>
          <w:color w:val="000000"/>
          <w:sz w:val="19"/>
        </w:rPr>
        <w:t xml:space="preserve"> </w:t>
      </w:r>
      <w:r>
        <w:rPr>
          <w:rFonts w:ascii="Times New Roman;Times;serif" w:hAnsi="Times New Roman;Times;serif"/>
          <w:color w:val="000000"/>
          <w:sz w:val="19"/>
        </w:rPr>
        <w:t xml:space="preserve">PROPOSAL 4*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27"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5" descr=""/>
                          <pic:cNvPicPr>
                            <a:picLocks noChangeAspect="1" noChangeArrowheads="1"/>
                          </pic:cNvPicPr>
                        </pic:nvPicPr>
                        <pic:blipFill>
                          <a:blip r:embed="rId126"/>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1" w:name="ny20072699x1_def14a_117-annual_pg1"/>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bookmarkStart w:id="152" w:name="tAR"/>
      <w:bookmarkEnd w:id="152"/>
      <w:r>
        <w:rPr>
          <w:rFonts w:ascii="Times New Roman;Times;serif" w:hAnsi="Times New Roman;Times;serif"/>
          <w:b/>
          <w:color w:val="000000"/>
          <w:sz w:val="24"/>
          <w:u w:val="single"/>
        </w:rPr>
        <w:t>ANNUAL REPORTS</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Notice of Annual Meeting of Shareholders, this Proxy Statement and the Annual Report to Shareholders for the year ended April 30, 2026, are available at http://materials.proxyvote.com/147528. The Annual Report, including consolidated financial statements, does not form a part of the material for the solicitation of proxies.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Company will provide without charge to each shareholder, on written request, a copy of the Company’s Annual Report on Form 10-K for the year ended April 30, 2026, including the consolidated financial statements and schedules thereto, filed with the SEC. If a shareholder requests copies of any exhibits to the Form 10-K, the Company may require the payment of a fee covering its reasonable expenses. A written request should be addressed to Scott Faber, Corporate Secretary, Casey’s General Stores, Inc., One SE Convenience Blvd., Ankeny, Iowa 50021. </w:t>
      </w:r>
    </w:p>
    <w:p>
      <w:pPr>
        <w:pStyle w:val="TextBody"/>
        <w:bidi w:val="0"/>
        <w:spacing w:before="250" w:after="283"/>
        <w:jc w:val="center"/>
        <w:rPr>
          <w:rFonts w:ascii="Times New Roman;Times;serif" w:hAnsi="Times New Roman;Times;serif"/>
          <w:b/>
          <w:color w:val="000000"/>
          <w:sz w:val="24"/>
        </w:rPr>
      </w:pPr>
      <w:bookmarkStart w:id="153" w:name="tSS"/>
      <w:bookmarkEnd w:id="153"/>
      <w:r>
        <w:rPr>
          <w:rFonts w:ascii="Times New Roman;Times;serif" w:hAnsi="Times New Roman;Times;serif"/>
          <w:b/>
          <w:color w:val="000000"/>
          <w:sz w:val="24"/>
          <w:u w:val="single"/>
        </w:rPr>
        <w:t>SHAREHOLDERS SHARING AN ADDRESS</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Shareholders sharing an address with another shareholder may receive only one Notice of Internet Availability of Proxy Materials, or single copies of this Proxy Statement and the Annual Report to Shareholders for the year ended April 30, 2026, as applicable, at that address unless they have provided contrary instructions. Any such shareholder who wishes to receive a separate Notice of Internet Availability of Proxy Materials, or separate copies of this Proxy Statement and the Annual Report to Shareholders for the year ended April 30, 2026, as applicable, now or in the future may write or call Broadridge to request a separate copy from: Householding Department, Broadridge, 51 Mercedes Way, Edgewood, NY 11717; (866) 540-7095.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Broadridge will promptly, upon written or oral request, deliver a Notice of Internet Availability of Proxy Materials, or a separate copy of this Proxy Statement and our Annual Report to Shareholders for the year ended April 30, 2026, as applicable, to any shareholder at a shared address to which only a single copy was delivered. Similarly, shareholders sharing an address with another shareholder who have received multiple copies of the Company’s Notice of Internet Availability of Proxy Materials, or multiple copies of this Proxy Statement and our Annual Report to Shareholders for the year ended April 30, 2026, as applicable, may write or call the above address and phone number to request delivery of a single copy in the future. </w:t>
      </w:r>
    </w:p>
    <w:p>
      <w:pPr>
        <w:pStyle w:val="TextBody"/>
        <w:bidi w:val="0"/>
        <w:spacing w:before="250" w:after="283"/>
        <w:jc w:val="center"/>
        <w:rPr>
          <w:rFonts w:ascii="Times New Roman;Times;serif" w:hAnsi="Times New Roman;Times;serif"/>
          <w:b/>
          <w:color w:val="000000"/>
          <w:sz w:val="24"/>
        </w:rPr>
      </w:pPr>
      <w:bookmarkStart w:id="154" w:name="tSSP"/>
      <w:bookmarkEnd w:id="154"/>
      <w:r>
        <w:rPr>
          <w:rFonts w:ascii="Times New Roman;Times;serif" w:hAnsi="Times New Roman;Times;serif"/>
          <w:b/>
          <w:color w:val="000000"/>
          <w:sz w:val="24"/>
          <w:u w:val="single"/>
        </w:rPr>
        <w:t>SUBMISSION OF SHAREHOLDER PROPOSALS</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Any proposal which a shareholder intends to submit for inclusion in the Company’s proxy statement and proxy card for the 2027 annual meeting pursuant to Rule 14a-8 of the Exchange Act must be received by the Company by March 24, 2027 (unless the date of the 2027 annual meeting is changed by more than 30 days from the first anniversary of the 2026 annual meeting, in which case the proposal must be received a reasonable time before the Company begins to print and send its proxy materials for the 2027 annual meeting).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Any shareholder intending to include a director nominee in the Company’s proxy materials for the 2027 annual meeting pursuant to Article III, Section 4 of the Bylaws (i.e., proxy access) should carefully review the requirements for using proxy access, as described in such Section. The Company must receive a shareholder’s nomination, with all required information, between the close of business on February 22, 2027, and the close of business on March 24, 2027. If the date of the 2027 annual meeting is more than 30 days before or more than 60 days after the first anniversary of the 2025 annual meeting, such nomination and required documentation must be delivered not less than 120 days nor more than 150 days or not later than the 10th day following the day on which public announcement of the date of the annual meeting is first made.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 addition, a shareholder may propose business to be conducted at an annual meeting, other than a proposal included in the Company’s proxy statement, or may submit nominations for directors under the Company’s advance notice requirements as set forth in Articles II and III of the Bylaws, respectively. Under the Bylaws, a shareholder must deliver written notice to the Corporate Secretary not earlier than May 5, 2027, and not later than June 4, 2027. For other business to be brought before the meeting, such notice must contain certain information as set forth in Article II of the Bylaws. For director nominations, such notice must contain certain information as set forth in Article III of the Bylaws. If the date of the 2027 annual meeting is more than 30 days before or more than 60 days after the first anniversary of the 2026 annual meeting, written notice must be received not less than 90 days nor more than 120 days prior to the date of the 2027 annual meeting or, if the first public announcement of the date of such advanced or delayed annual meeting is less than 100 days prior to the date of such annual meeting, not later than the 10th day following the day on which public announcement of the date of the annual meeting is first made.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 addition, to comply with the universal proxy rules, shareholders who intend to solicit proxies in support of director nominees other than Company nominees must deliver written notice not earlier than May 5, 2027, and not later than June 4, 2027 that sets forth the information required by Rule 14a-19(b) under the Exchange Act and comply with the advance notice requirements as set forth in the Company’s Bylaws as described above. </w:t>
      </w:r>
    </w:p>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28"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6" descr=""/>
                          <pic:cNvPicPr>
                            <a:picLocks noChangeAspect="1" noChangeArrowheads="1"/>
                          </pic:cNvPicPr>
                        </pic:nvPicPr>
                        <pic:blipFill>
                          <a:blip r:embed="rId127"/>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5" w:name="ny20072699x1_def14a_117-annual_pg2"/>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bookmarkStart w:id="156" w:name="tPS"/>
      <w:bookmarkEnd w:id="156"/>
      <w:r>
        <w:rPr>
          <w:rFonts w:ascii="Times New Roman;Times;serif" w:hAnsi="Times New Roman;Times;serif"/>
          <w:b/>
          <w:color w:val="000000"/>
          <w:sz w:val="24"/>
          <w:u w:val="single"/>
        </w:rPr>
        <w:t>PROXY SOLICITATION</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Company will pay all solicitation expenses in connection with this Proxy Statement and related Company proxy soliciting material, including the expense of preparing, printing, assembling, mailing and otherwise making available this Proxy Statement and any other material used in the Company’s solicitation of proxies. We have retained MacKenzie Partners to assist in the solicitation of proxies for the Annual Meeting for a fee of approximately $25,000, plus associated costs and expenses. Certain directors, executive officers and other employees, on behalf of the Company and without additional compensation, may also solicit proxies personally, by telephone, fax, email or other electronic means. Shareholders may also be solicited by means of press releases issued by the Company and posted on its website.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Company will request banks, brokers and other custodians, Nominees and fiduciaries to forward proxy soliciting material to the beneficial owners of shares held of record by such persons and obtain their voting instructions. The Company will reimburse such persons at approved rates for their expenses in connection with the foregoing activities. </w:t>
      </w:r>
    </w:p>
    <w:p>
      <w:pPr>
        <w:pStyle w:val="TextBody"/>
        <w:bidi w:val="0"/>
        <w:spacing w:before="240" w:after="283"/>
        <w:jc w:val="center"/>
        <w:rPr>
          <w:rFonts w:ascii="Times New Roman;Times;serif" w:hAnsi="Times New Roman;Times;serif"/>
          <w:b/>
          <w:color w:val="000000"/>
          <w:sz w:val="24"/>
        </w:rPr>
      </w:pPr>
      <w:bookmarkStart w:id="157" w:name="tOM"/>
      <w:bookmarkEnd w:id="157"/>
      <w:r>
        <w:rPr>
          <w:rFonts w:ascii="Times New Roman;Times;serif" w:hAnsi="Times New Roman;Times;serif"/>
          <w:b/>
          <w:color w:val="000000"/>
          <w:sz w:val="24"/>
          <w:u w:val="single"/>
        </w:rPr>
        <w:t>OTHER MATTERS</w:t>
      </w:r>
      <w:r>
        <w:rPr>
          <w:rFonts w:ascii="Times New Roman;Times;serif" w:hAnsi="Times New Roman;Times;serif"/>
          <w:b/>
          <w:color w:val="000000"/>
          <w:sz w:val="24"/>
        </w:rPr>
        <w:t xml:space="preserve">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So far as the Board and the management of the Company are aware, no matters other than those described in this Proxy Statement will be acted upon at the meeting. If, however, any other matters properly come before the meeting, it is the intention of the persons named in the enclosed proxy to vote the same in accordance with their judgment on such other matters. </w:t>
      </w:r>
    </w:p>
    <w:p>
      <w:pPr>
        <w:pStyle w:val="TextBody"/>
        <w:bidi w:val="0"/>
        <w:spacing w:before="22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By Order of the Board of Directors,</w:t>
      </w:r>
    </w:p>
    <w:p>
      <w:pPr>
        <w:pStyle w:val="TextBody"/>
        <w:bidi w:val="0"/>
        <w:spacing w:before="335" w:after="283"/>
        <w:ind w:left="0" w:right="0" w:hanging="0"/>
        <w:jc w:val="left"/>
        <w:rPr>
          <w:color w:val="000000"/>
        </w:rPr>
      </w:pPr>
      <w:r>
        <w:rPr>
          <w:color w:val="000000"/>
        </w:rPr>
        <w:drawing>
          <wp:inline distT="0" distB="0" distL="0" distR="0">
            <wp:extent cx="2009775" cy="457200"/>
            <wp:effectExtent l="0" t="0" r="0" b="0"/>
            <wp:docPr id="129"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7" descr=""/>
                    <pic:cNvPicPr>
                      <a:picLocks noChangeAspect="1" noChangeArrowheads="1"/>
                    </pic:cNvPicPr>
                  </pic:nvPicPr>
                  <pic:blipFill>
                    <a:blip r:embed="rId128"/>
                    <a:stretch>
                      <a:fillRect/>
                    </a:stretch>
                  </pic:blipFill>
                  <pic:spPr bwMode="auto">
                    <a:xfrm>
                      <a:off x="0" y="0"/>
                      <a:ext cx="2009775" cy="4572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1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Scott Faber </w:t>
      </w:r>
    </w:p>
    <w:p>
      <w:pPr>
        <w:pStyle w:val="TextBody"/>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Vice President, Deputy General Counsel and </w:t>
      </w:r>
    </w:p>
    <w:p>
      <w:pPr>
        <w:pStyle w:val="TextBody"/>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Corporate Secretary</w:t>
      </w:r>
    </w:p>
    <w:p>
      <w:pPr>
        <w:pStyle w:val="TextBody"/>
        <w:bidi w:val="0"/>
        <w:spacing w:before="21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July 22, 2026 </w:t>
      </w:r>
    </w:p>
    <w:p>
      <w:pPr>
        <w:pStyle w:val="TextBody"/>
        <w:bidi w:val="0"/>
        <w:spacing w:before="21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*YOUR VOTE IS IMPORTANT. PLEASE COMPLETE AND SIGN YOUR PROXY CARD AND RETURN IT PROMPTLY OR </w:t>
      </w:r>
    </w:p>
    <w:p>
      <w:pPr>
        <w:pStyle w:val="TextBody"/>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OTHERWISE VOTE BY TELEPHONE OR THE INTERNET, AS DESCRIBED ABOVE* </w:t>
      </w:r>
    </w:p>
    <w:p>
      <w:pPr>
        <w:pStyle w:val="Normal"/>
        <w:bidi w:val="0"/>
        <w:spacing w:before="0" w:after="0"/>
        <w:ind w:left="0" w:right="0" w:hanging="0"/>
        <w:jc w:val="left"/>
        <w:rPr>
          <w:sz w:val="4"/>
          <w:szCs w:val="4"/>
        </w:rPr>
      </w:pPr>
      <w:r>
        <w:rPr>
          <w:sz w:val="4"/>
          <w:szCs w:val="4"/>
        </w:rPr>
      </w:r>
      <w:bookmarkStart w:id="158" w:name="tFLS"/>
      <w:bookmarkStart w:id="159" w:name="tFLS"/>
      <w:bookmarkEnd w:id="159"/>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D9D9D9" w:val="clear"/>
            <w:vAlign w:val="center"/>
          </w:tcPr>
          <w:p>
            <w:pPr>
              <w:pStyle w:val="TableContents"/>
              <w:bidi w:val="0"/>
              <w:spacing w:before="0" w:after="0"/>
              <w:jc w:val="left"/>
              <w:rPr/>
            </w:pPr>
            <w:r>
              <w:rPr/>
              <w:t> </w:t>
            </w:r>
          </w:p>
        </w:tc>
        <w:tc>
          <w:tcPr>
            <w:tcW w:w="9805"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9805" w:type="dxa"/>
            <w:tcBorders>
              <w:bottom w:val="single" w:sz="8" w:space="0" w:color="000000"/>
            </w:tcBorders>
            <w:shd w:fill="D9D9D9" w:val="clear"/>
            <w:tcMar>
              <w:bottom w:w="55" w:type="dxa"/>
            </w:tcMar>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Forward-Looking Statements </w:t>
            </w:r>
          </w:p>
        </w:tc>
        <w:tc>
          <w:tcPr>
            <w:tcW w:w="21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35" w:right="0" w:hanging="0"/>
              <w:jc w:val="left"/>
              <w:rPr>
                <w:rFonts w:ascii="Times New Roman;Times;serif" w:hAnsi="Times New Roman;Times;serif"/>
                <w:color w:val="000000"/>
                <w:sz w:val="18"/>
              </w:rPr>
            </w:pPr>
            <w:r>
              <w:rPr>
                <w:rFonts w:ascii="Times New Roman;Times;serif" w:hAnsi="Times New Roman;Times;serif"/>
                <w:color w:val="000000"/>
                <w:sz w:val="18"/>
              </w:rPr>
              <w:t>This Proxy Statement contains statements that may constitute “forward-looking statements” within the meaning of Section 27A of the Securities Act of 1933, as amended, Section 21E of the Securities Exchange Act of 1934, as amended, and the Private Securities Litigation Reform Act of 1995, including those related to expectations for future periods, possible or assumed future results of operations, financial conditions, liquidity and related sources or needs, business and/or integration strategies, plans and synergies, supply chain, growth opportunities, and performance of our business and at our stores. There are a number of known and unknown risks, uncertainties, and other factors that may cause our actual results to differ materially from any results expressed or implied by these forward-looking statements, including but not limited to the execution of our new three-year strategic plan, the integration and financial performance of acquired stores, wholesale fuel, inventory and ingredient costs, distribution challenges and disruptions, the impact and duration of conflicts in oil producing regions and other geopolitical disruptions, as well as other risks, uncertainties and factors which are described in the Company’s most recent annual report on Form 10-K and quarterly reports on Form 10-Q, as filed with the Securities and Exchange Commission and available on our website. Any forward-looking statements contained in the Proxy Statement represent our current views as of the date of the Proxy Statement with respect to future events, and Casey’s disclaims any intention or obligation to update or revise any forward-looking statements in the Proxy Statement whether as a result of new information, future events, or otherwise.</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600" w:type="dxa"/>
        <w:jc w:val="left"/>
        <w:tblInd w:w="0" w:type="dxa"/>
        <w:tblLayout w:type="fixed"/>
        <w:tblCellMar>
          <w:top w:w="0" w:type="dxa"/>
          <w:left w:w="0" w:type="dxa"/>
          <w:bottom w:w="0" w:type="dxa"/>
          <w:right w:w="0" w:type="dxa"/>
        </w:tblCellMar>
      </w:tblPr>
      <w:tblGrid>
        <w:gridCol w:w="1985"/>
        <w:gridCol w:w="170"/>
        <w:gridCol w:w="170"/>
        <w:gridCol w:w="26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30"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8" descr=""/>
                          <pic:cNvPicPr>
                            <a:picLocks noChangeAspect="1" noChangeArrowheads="1"/>
                          </pic:cNvPicPr>
                        </pic:nvPicPr>
                        <pic:blipFill>
                          <a:blip r:embed="rId129"/>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0" w:name="ny20072699x1_def14a_200-appa_pg1"/>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bookmarkStart w:id="161" w:name="tAPPA"/>
      <w:bookmarkEnd w:id="161"/>
      <w:r>
        <w:rPr>
          <w:rFonts w:ascii="Times New Roman;Times;serif" w:hAnsi="Times New Roman;Times;serif"/>
          <w:b/>
          <w:color w:val="000000"/>
          <w:sz w:val="24"/>
          <w:u w:val="single"/>
        </w:rPr>
        <w:t>APPENDIX A</w:t>
      </w:r>
      <w:r>
        <w:rPr>
          <w:rFonts w:ascii="Times New Roman;Times;serif" w:hAnsi="Times New Roman;Times;serif"/>
          <w:b/>
          <w:color w:val="000000"/>
          <w:sz w:val="24"/>
        </w:rPr>
        <w:t xml:space="preserve"> </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Reconciliation of Non-GAAP Financial Measures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We define EBITDA as net income before net interest expense, income taxes, depreciation and amortization. We believe EBITDA is useful to investors in evaluating our operating performance because securities analysts and other interested parties use the calculation as a measure of financial performance and debt service capabilities, and it is regularly used by management for internal purposes including our capital budgeting process, evaluating acquisition targets, assessing performance, and compensation targets.</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We define ROIC as operating profit after taxes (net income, plus net interest expenses, income taxes, tax effected) divided by average invested capital. We believe ROIC is useful to investors as a measure of financial performance and prudent capital allocation and is regularly used by management for internal purposes including our capital budgeting process, evaluating acquisition targets, assessing performance, and compensation targets. </w:t>
      </w:r>
    </w:p>
    <w:p>
      <w:pPr>
        <w:pStyle w:val="TextBody"/>
        <w:bidi w:val="0"/>
        <w:spacing w:before="1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Neither EBITDA nor ROIC are recognized terms under GAAP and should not be considered as a substitute for net income, net cash generated from operating activities or other income or cash flow statement data. These measures have limitations as analytical tools and should not be considered in isolation or as a substitute for analysis of our results as reported under GAAP. We strongly encourage investors to review our financial statements and publicly filed reports in their entirety and not to rely on any single financial measure. Because non-GAAP financial measures are not standardized, EBITDA and ROIC, as defined by us, may not be comparable to similarly titled measures reported by other companies. It therefore may not be possible to compare our use of this non-GAAP financial measure with those used by other companies. </w:t>
      </w:r>
    </w:p>
    <w:p>
      <w:pPr>
        <w:pStyle w:val="TextBody"/>
        <w:bidi w:val="0"/>
        <w:spacing w:before="280" w:after="283"/>
        <w:jc w:val="center"/>
        <w:rPr>
          <w:rFonts w:ascii="Times New Roman;Times;serif" w:hAnsi="Times New Roman;Times;serif"/>
          <w:b/>
          <w:color w:val="000000"/>
          <w:sz w:val="19"/>
        </w:rPr>
      </w:pPr>
      <w:r>
        <w:rPr>
          <w:rFonts w:ascii="Times New Roman;Times;serif" w:hAnsi="Times New Roman;Times;serif"/>
          <w:b/>
          <w:color w:val="000000"/>
          <w:sz w:val="19"/>
        </w:rPr>
        <w:t>Net Income to EBITDA</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i/>
          <w:color w:val="000000"/>
          <w:sz w:val="19"/>
        </w:rPr>
        <w:t>(in thousands)</w:t>
      </w:r>
      <w:r>
        <w:rPr>
          <w:rFonts w:ascii="Times New Roman;Times;serif" w:hAnsi="Times New Roman;Times;serif"/>
          <w:b/>
          <w:color w:val="000000"/>
          <w:sz w:val="19"/>
        </w:rPr>
        <w:t xml:space="preserve"> </w:t>
      </w:r>
    </w:p>
    <w:tbl>
      <w:tblPr>
        <w:tblW w:w="9830" w:type="dxa"/>
        <w:jc w:val="left"/>
        <w:tblInd w:w="0" w:type="dxa"/>
        <w:tblLayout w:type="fixed"/>
        <w:tblCellMar>
          <w:top w:w="0" w:type="dxa"/>
          <w:left w:w="0" w:type="dxa"/>
          <w:bottom w:w="0" w:type="dxa"/>
          <w:right w:w="0" w:type="dxa"/>
        </w:tblCellMar>
      </w:tblPr>
      <w:tblGrid>
        <w:gridCol w:w="2540"/>
        <w:gridCol w:w="170"/>
        <w:gridCol w:w="170"/>
        <w:gridCol w:w="1100"/>
        <w:gridCol w:w="170"/>
        <w:gridCol w:w="170"/>
        <w:gridCol w:w="1100"/>
        <w:gridCol w:w="170"/>
        <w:gridCol w:w="170"/>
        <w:gridCol w:w="1100"/>
        <w:gridCol w:w="170"/>
        <w:gridCol w:w="170"/>
        <w:gridCol w:w="1100"/>
        <w:gridCol w:w="170"/>
        <w:gridCol w:w="170"/>
        <w:gridCol w:w="1190"/>
      </w:tblGrid>
      <w:tr>
        <w:trPr/>
        <w:tc>
          <w:tcPr>
            <w:tcW w:w="25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0" w:type="dxa"/>
            <w:gridSpan w:val="13"/>
            <w:tcBorders/>
            <w:vAlign w:val="center"/>
          </w:tcPr>
          <w:p>
            <w:pPr>
              <w:pStyle w:val="TableContents"/>
              <w:bidi w:val="0"/>
              <w:spacing w:before="0" w:after="0"/>
              <w:jc w:val="left"/>
              <w:rPr/>
            </w:pPr>
            <w:r>
              <w:rPr/>
              <w:t> </w:t>
            </w:r>
          </w:p>
        </w:tc>
      </w:tr>
      <w:tr>
        <w:trPr/>
        <w:tc>
          <w:tcPr>
            <w:tcW w:w="25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0" w:type="dxa"/>
            <w:gridSpan w:val="1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Ended </w:t>
            </w:r>
          </w:p>
        </w:tc>
      </w:tr>
      <w:tr>
        <w:trPr/>
        <w:tc>
          <w:tcPr>
            <w:tcW w:w="25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April 30,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April 30,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April 30, 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April 30, 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30, 2022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714,448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546,520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501,972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70" w:right="0" w:hanging="0"/>
              <w:jc w:val="left"/>
              <w:rPr>
                <w:rFonts w:ascii="Times New Roman;Times;serif" w:hAnsi="Times New Roman;Times;serif"/>
                <w:color w:val="000000"/>
                <w:sz w:val="20"/>
              </w:rPr>
            </w:pPr>
            <w:r>
              <w:rPr>
                <w:rFonts w:ascii="Times New Roman;Times;serif" w:hAnsi="Times New Roman;Times;serif"/>
                <w:color w:val="000000"/>
                <w:sz w:val="20"/>
              </w:rPr>
              <w:t>446,691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339,790 </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96,634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83,951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53,441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70" w:right="0" w:hanging="0"/>
              <w:jc w:val="left"/>
              <w:rPr>
                <w:rFonts w:ascii="Times New Roman;Times;serif" w:hAnsi="Times New Roman;Times;serif"/>
                <w:color w:val="000000"/>
                <w:sz w:val="20"/>
              </w:rPr>
            </w:pPr>
            <w:r>
              <w:rPr>
                <w:rFonts w:ascii="Times New Roman;Times;serif" w:hAnsi="Times New Roman;Times;serif"/>
                <w:color w:val="000000"/>
                <w:sz w:val="20"/>
              </w:rPr>
              <w:t>51,815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56,972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222,575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403,647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349,797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70" w:right="0" w:hanging="0"/>
              <w:jc w:val="left"/>
              <w:rPr>
                <w:rFonts w:ascii="Times New Roman;Times;serif" w:hAnsi="Times New Roman;Times;serif"/>
                <w:color w:val="000000"/>
                <w:sz w:val="20"/>
              </w:rPr>
            </w:pPr>
            <w:r>
              <w:rPr>
                <w:rFonts w:ascii="Times New Roman;Times;serif" w:hAnsi="Times New Roman;Times;serif"/>
                <w:color w:val="000000"/>
                <w:sz w:val="20"/>
              </w:rPr>
              <w:t>313,131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303,541 </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Federal and state income taxes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$449,958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165,929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154,188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7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140,827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7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100,938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EBITDA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4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$1,483,615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1,200,047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1,059,398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7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952,464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7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801,241</w:t>
            </w:r>
          </w:p>
        </w:tc>
      </w:tr>
      <w:tr>
        <w:trPr/>
        <w:tc>
          <w:tcPr>
            <w:tcW w:w="25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r>
    </w:tbl>
    <w:p>
      <w:pPr>
        <w:pStyle w:val="TextBody"/>
        <w:bidi w:val="0"/>
        <w:spacing w:before="24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Calculation of ROIC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i/>
          <w:color w:val="000000"/>
          <w:sz w:val="19"/>
        </w:rPr>
        <w:t>(in thousands, other than %s)</w:t>
      </w:r>
      <w:r>
        <w:rPr>
          <w:rFonts w:ascii="Times New Roman;Times;serif" w:hAnsi="Times New Roman;Times;serif"/>
          <w:b/>
          <w:color w:val="000000"/>
          <w:sz w:val="19"/>
        </w:rPr>
        <w:t xml:space="preserve"> </w:t>
      </w:r>
    </w:p>
    <w:tbl>
      <w:tblPr>
        <w:tblW w:w="10205" w:type="dxa"/>
        <w:jc w:val="left"/>
        <w:tblInd w:w="0" w:type="dxa"/>
        <w:tblLayout w:type="fixed"/>
        <w:tblCellMar>
          <w:top w:w="0" w:type="dxa"/>
          <w:left w:w="0" w:type="dxa"/>
          <w:bottom w:w="0" w:type="dxa"/>
          <w:right w:w="0" w:type="dxa"/>
        </w:tblCellMar>
      </w:tblPr>
      <w:tblGrid>
        <w:gridCol w:w="3405"/>
        <w:gridCol w:w="170"/>
        <w:gridCol w:w="170"/>
        <w:gridCol w:w="1038"/>
        <w:gridCol w:w="170"/>
        <w:gridCol w:w="170"/>
        <w:gridCol w:w="1038"/>
        <w:gridCol w:w="170"/>
        <w:gridCol w:w="170"/>
        <w:gridCol w:w="985"/>
        <w:gridCol w:w="170"/>
        <w:gridCol w:w="170"/>
        <w:gridCol w:w="985"/>
        <w:gridCol w:w="170"/>
        <w:gridCol w:w="170"/>
        <w:gridCol w:w="1054"/>
      </w:tblGrid>
      <w:tr>
        <w:trPr/>
        <w:tc>
          <w:tcPr>
            <w:tcW w:w="34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60" w:type="dxa"/>
            <w:gridSpan w:val="13"/>
            <w:tcBorders/>
            <w:vAlign w:val="center"/>
          </w:tcPr>
          <w:p>
            <w:pPr>
              <w:pStyle w:val="TableContents"/>
              <w:bidi w:val="0"/>
              <w:spacing w:before="0" w:after="0"/>
              <w:jc w:val="left"/>
              <w:rPr/>
            </w:pPr>
            <w:r>
              <w:rPr/>
              <w:t> </w:t>
            </w:r>
          </w:p>
        </w:tc>
      </w:tr>
      <w:tr>
        <w:trPr/>
        <w:tc>
          <w:tcPr>
            <w:tcW w:w="34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60" w:type="dxa"/>
            <w:gridSpan w:val="1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Ended </w:t>
            </w:r>
          </w:p>
        </w:tc>
      </w:tr>
      <w:tr>
        <w:trPr/>
        <w:tc>
          <w:tcPr>
            <w:tcW w:w="34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April 30,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April 30,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April 30, 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April 30, 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30, 2022 </w:t>
            </w:r>
          </w:p>
        </w:tc>
      </w:tr>
      <w:tr>
        <w:trPr/>
        <w:tc>
          <w:tcPr>
            <w:tcW w:w="3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714,448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546,520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501,972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446,691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339,790 </w:t>
            </w:r>
          </w:p>
        </w:tc>
      </w:tr>
      <w:tr>
        <w:trPr/>
        <w:tc>
          <w:tcPr>
            <w:tcW w:w="3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Federal and state income taxes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222,575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165,929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154,188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140,827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100,938 </w:t>
            </w:r>
          </w:p>
        </w:tc>
      </w:tr>
      <w:tr>
        <w:trPr/>
        <w:tc>
          <w:tcPr>
            <w:tcW w:w="3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net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96,634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83,951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53,441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51,815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56,972 </w:t>
            </w:r>
          </w:p>
        </w:tc>
      </w:tr>
      <w:tr>
        <w:trPr/>
        <w:tc>
          <w:tcPr>
            <w:tcW w:w="3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EBIT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$1,033,657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796,400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709,601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639,333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497,700 </w:t>
            </w:r>
          </w:p>
        </w:tc>
      </w:tr>
      <w:tr>
        <w:trPr/>
        <w:tc>
          <w:tcPr>
            <w:tcW w:w="3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effect*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$(245,529</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(185,481</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(166,746</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(153,247</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(113,986</w:t>
            </w:r>
            <w:r>
              <w:rPr>
                <w:rFonts w:ascii="Times New Roman;Times;serif" w:hAnsi="Times New Roman;Times;serif"/>
                <w:color w:val="000000"/>
                <w:sz w:val="20"/>
              </w:rPr>
              <w:t xml:space="preserve">) </w:t>
            </w:r>
          </w:p>
        </w:tc>
      </w:tr>
      <w:tr>
        <w:trPr/>
        <w:tc>
          <w:tcPr>
            <w:tcW w:w="3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profit after depreciation and taxes (a)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4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$788,128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4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610,919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542,855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486,086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383,714 </w:t>
            </w:r>
          </w:p>
        </w:tc>
      </w:tr>
      <w:tr>
        <w:trPr/>
        <w:tc>
          <w:tcPr>
            <w:tcW w:w="340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center"/>
              <w:rPr>
                <w:color w:val="000000"/>
              </w:rPr>
            </w:pPr>
            <w:r>
              <w:rPr>
                <w:color w:val="000000"/>
              </w:rPr>
              <w:t> </w:t>
            </w:r>
          </w:p>
        </w:tc>
      </w:tr>
      <w:tr>
        <w:trPr/>
        <w:tc>
          <w:tcPr>
            <w:tcW w:w="3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Lines of credit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9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9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95" w:right="0" w:hanging="0"/>
              <w:jc w:val="left"/>
              <w:rPr>
                <w:color w:val="000000"/>
              </w:rPr>
            </w:pPr>
            <w:r>
              <w:rPr>
                <w:color w:val="000000"/>
              </w:rPr>
              <w:t xml:space="preserve">— </w:t>
            </w:r>
          </w:p>
        </w:tc>
      </w:tr>
      <w:tr>
        <w:trPr/>
        <w:tc>
          <w:tcPr>
            <w:tcW w:w="3405" w:type="dxa"/>
            <w:tcBorders/>
            <w:shd w:fill="CCEEFF" w:val="clear"/>
            <w:vAlign w:val="center"/>
          </w:tcPr>
          <w:p>
            <w:pPr>
              <w:pStyle w:val="TableContents"/>
              <w:bidi w:val="0"/>
              <w:spacing w:before="0" w:after="283"/>
              <w:ind w:left="190" w:right="0" w:hanging="190"/>
              <w:jc w:val="left"/>
              <w:rPr>
                <w:rFonts w:ascii="Times New Roman;Times;serif" w:hAnsi="Times New Roman;Times;serif"/>
                <w:color w:val="000000"/>
                <w:sz w:val="20"/>
              </w:rPr>
            </w:pPr>
            <w:r>
              <w:rPr>
                <w:rFonts w:ascii="Times New Roman;Times;serif" w:hAnsi="Times New Roman;Times;serif"/>
                <w:color w:val="000000"/>
                <w:sz w:val="20"/>
              </w:rPr>
              <w:t xml:space="preserve">Current maturities of long-term debt and finance lease obligations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101,357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94,925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53,181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52,861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24,466 </w:t>
            </w:r>
          </w:p>
        </w:tc>
      </w:tr>
      <w:tr>
        <w:trPr/>
        <w:tc>
          <w:tcPr>
            <w:tcW w:w="3405" w:type="dxa"/>
            <w:tcBorders/>
            <w:vAlign w:val="center"/>
          </w:tcPr>
          <w:p>
            <w:pPr>
              <w:pStyle w:val="TableContents"/>
              <w:bidi w:val="0"/>
              <w:spacing w:before="0" w:after="283"/>
              <w:ind w:left="190" w:right="0" w:hanging="190"/>
              <w:jc w:val="left"/>
              <w:rPr>
                <w:rFonts w:ascii="Times New Roman;Times;serif" w:hAnsi="Times New Roman;Times;serif"/>
                <w:color w:val="000000"/>
                <w:sz w:val="20"/>
              </w:rPr>
            </w:pPr>
            <w:r>
              <w:rPr>
                <w:rFonts w:ascii="Times New Roman;Times;serif" w:hAnsi="Times New Roman;Times;serif"/>
                <w:color w:val="000000"/>
                <w:sz w:val="20"/>
              </w:rPr>
              <w:t>Long-term debt and finance lease obligations, net of current maturities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$2,330,237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2,413,620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1,582,758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1,620,513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1,663,403 </w:t>
            </w:r>
          </w:p>
        </w:tc>
      </w:tr>
      <w:tr>
        <w:trPr/>
        <w:tc>
          <w:tcPr>
            <w:tcW w:w="3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shareholders’ equity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$3,951,719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3,508,670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3,015,381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2,660,666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2,240,838 </w:t>
            </w:r>
          </w:p>
        </w:tc>
      </w:tr>
      <w:tr>
        <w:trPr/>
        <w:tc>
          <w:tcPr>
            <w:tcW w:w="34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invested capital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$6,383,313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6,017,215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4,651,320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4,334,040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3,928,707 </w:t>
            </w:r>
          </w:p>
        </w:tc>
      </w:tr>
      <w:tr>
        <w:trPr/>
        <w:tc>
          <w:tcPr>
            <w:tcW w:w="34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Average invested capital (b)</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4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$6,200,264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4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$5,334,268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5"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4,492,680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5"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4,131,374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3,612,568 </w:t>
            </w:r>
          </w:p>
        </w:tc>
      </w:tr>
      <w:tr>
        <w:trPr/>
        <w:tc>
          <w:tcPr>
            <w:tcW w:w="34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224" w:type="dxa"/>
            <w:gridSpan w:val="2"/>
            <w:tcBorders/>
          </w:tcPr>
          <w:p>
            <w:pPr>
              <w:pStyle w:val="TableContents"/>
              <w:bidi w:val="0"/>
              <w:spacing w:before="0" w:after="283"/>
              <w:jc w:val="left"/>
              <w:rPr>
                <w:sz w:val="4"/>
                <w:szCs w:val="4"/>
              </w:rPr>
            </w:pPr>
            <w:r>
              <w:rPr>
                <w:sz w:val="4"/>
                <w:szCs w:val="4"/>
              </w:rPr>
            </w:r>
          </w:p>
        </w:tc>
      </w:tr>
      <w:tr>
        <w:trPr/>
        <w:tc>
          <w:tcPr>
            <w:tcW w:w="34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Return on invested capital (ROIC) (a) / (b)</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45" w:right="0" w:hanging="0"/>
              <w:jc w:val="left"/>
              <w:rPr>
                <w:rFonts w:ascii="Times New Roman;Times;serif" w:hAnsi="Times New Roman;Times;serif"/>
                <w:b/>
                <w:color w:val="000000"/>
                <w:sz w:val="20"/>
              </w:rPr>
            </w:pPr>
            <w:r>
              <w:rPr>
                <w:rFonts w:ascii="Times New Roman;Times;serif" w:hAnsi="Times New Roman;Times;serif"/>
                <w:b/>
                <w:color w:val="000000"/>
                <w:sz w:val="20"/>
              </w:rPr>
              <w:t>12.7%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45" w:right="0" w:hanging="0"/>
              <w:jc w:val="left"/>
              <w:rPr>
                <w:rFonts w:ascii="Times New Roman;Times;serif" w:hAnsi="Times New Roman;Times;serif"/>
                <w:b/>
                <w:color w:val="000000"/>
                <w:sz w:val="20"/>
              </w:rPr>
            </w:pPr>
            <w:r>
              <w:rPr>
                <w:rFonts w:ascii="Times New Roman;Times;serif" w:hAnsi="Times New Roman;Times;serif"/>
                <w:b/>
                <w:color w:val="000000"/>
                <w:sz w:val="20"/>
              </w:rPr>
              <w:t>11.5%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5"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rPr>
              <w:t>12.1%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5"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rPr>
              <w:t>11.8%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rPr>
              <w:t>10.6%</w:t>
            </w:r>
          </w:p>
        </w:tc>
      </w:tr>
      <w:tr>
        <w:trPr/>
        <w:tc>
          <w:tcPr>
            <w:tcW w:w="34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i/>
                <w:color w:val="000000"/>
                <w:sz w:val="16"/>
              </w:rPr>
              <w:t>EBIT is tax effected using the effective tax rate for the reported period. Effective tax rate is federal and state income taxes divided by income before income taxes.</w:t>
            </w:r>
            <w:r>
              <w:rPr>
                <w:rFonts w:ascii="Times New Roman;Times;serif" w:hAnsi="Times New Roman;Times;serif"/>
                <w:color w:val="000000"/>
                <w:sz w:val="16"/>
              </w:rPr>
              <w:t xml:space="preserve"> </w:t>
            </w:r>
          </w:p>
        </w:tc>
      </w:tr>
    </w:tbl>
    <w:tbl>
      <w:tblPr>
        <w:tblW w:w="3690" w:type="dxa"/>
        <w:jc w:val="left"/>
        <w:tblInd w:w="0" w:type="dxa"/>
        <w:tblLayout w:type="fixed"/>
        <w:tblCellMar>
          <w:top w:w="0" w:type="dxa"/>
          <w:left w:w="0" w:type="dxa"/>
          <w:bottom w:w="0" w:type="dxa"/>
          <w:right w:w="0" w:type="dxa"/>
        </w:tblCellMar>
      </w:tblPr>
      <w:tblGrid>
        <w:gridCol w:w="1985"/>
        <w:gridCol w:w="170"/>
        <w:gridCol w:w="170"/>
        <w:gridCol w:w="350"/>
        <w:gridCol w:w="170"/>
        <w:gridCol w:w="170"/>
        <w:gridCol w:w="6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Notice &amp;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60" w:after="283"/>
              <w:jc w:val="right"/>
              <w:rPr>
                <w:color w:val="000000"/>
              </w:rPr>
            </w:pPr>
            <w:r>
              <w:rPr>
                <w:color w:val="000000"/>
              </w:rPr>
              <w:drawing>
                <wp:inline distT="0" distB="0" distL="0" distR="0">
                  <wp:extent cx="381000" cy="152400"/>
                  <wp:effectExtent l="0" t="0" r="0" b="0"/>
                  <wp:docPr id="131"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9" descr=""/>
                          <pic:cNvPicPr>
                            <a:picLocks noChangeAspect="1" noChangeArrowheads="1"/>
                          </pic:cNvPicPr>
                        </pic:nvPicPr>
                        <pic:blipFill>
                          <a:blip r:embed="rId130"/>
                          <a:stretch>
                            <a:fillRect/>
                          </a:stretch>
                        </pic:blipFill>
                        <pic:spPr bwMode="auto">
                          <a:xfrm>
                            <a:off x="0" y="0"/>
                            <a:ext cx="381000" cy="152400"/>
                          </a:xfrm>
                          <a:prstGeom prst="rect">
                            <a:avLst/>
                          </a:prstGeom>
                        </pic:spPr>
                      </pic:pic>
                    </a:graphicData>
                  </a:graphic>
                </wp:inline>
              </w:drawing>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2" w:name="ny20072699x1_def14a_300-proxycard_pg1"/>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center"/>
        <w:rPr>
          <w:color w:val="000000"/>
        </w:rPr>
      </w:pPr>
      <w:r>
        <w:rPr>
          <w:color w:val="000000"/>
        </w:rPr>
        <w:drawing>
          <wp:inline distT="0" distB="0" distL="0" distR="0">
            <wp:extent cx="7305675" cy="9458325"/>
            <wp:effectExtent l="0" t="0" r="0" b="0"/>
            <wp:docPr id="132"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0" descr=""/>
                    <pic:cNvPicPr>
                      <a:picLocks noChangeAspect="1" noChangeArrowheads="1"/>
                    </pic:cNvPicPr>
                  </pic:nvPicPr>
                  <pic:blipFill>
                    <a:blip r:embed="rId131"/>
                    <a:stretch>
                      <a:fillRect/>
                    </a:stretch>
                  </pic:blipFill>
                  <pic:spPr bwMode="auto">
                    <a:xfrm>
                      <a:off x="0" y="0"/>
                      <a:ext cx="7305675" cy="94583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63" w:name="ny20072699x1_def14a_300-proxycard_pg2"/>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25" w:after="283"/>
        <w:ind w:left="0" w:right="0" w:hanging="0"/>
        <w:jc w:val="center"/>
        <w:rPr>
          <w:color w:val="000000"/>
        </w:rPr>
      </w:pPr>
      <w:r>
        <w:rPr>
          <w:color w:val="000000"/>
        </w:rPr>
        <w:drawing>
          <wp:inline distT="0" distB="0" distL="0" distR="0">
            <wp:extent cx="7305675" cy="9458325"/>
            <wp:effectExtent l="0" t="0" r="0" b="0"/>
            <wp:docPr id="133"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1" descr=""/>
                    <pic:cNvPicPr>
                      <a:picLocks noChangeAspect="1" noChangeArrowheads="1"/>
                    </pic:cNvPicPr>
                  </pic:nvPicPr>
                  <pic:blipFill>
                    <a:blip r:embed="rId132"/>
                    <a:stretch>
                      <a:fillRect/>
                    </a:stretch>
                  </pic:blipFill>
                  <pic:spPr bwMode="auto">
                    <a:xfrm>
                      <a:off x="0" y="0"/>
                      <a:ext cx="7305675" cy="94583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4.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4.jpeg"/><Relationship Id="rId24" Type="http://schemas.openxmlformats.org/officeDocument/2006/relationships/image" Target="media/image4.jpeg"/><Relationship Id="rId25" Type="http://schemas.openxmlformats.org/officeDocument/2006/relationships/image" Target="media/image4.jpeg"/><Relationship Id="rId26" Type="http://schemas.openxmlformats.org/officeDocument/2006/relationships/image" Target="media/image4.jpeg"/><Relationship Id="rId27" Type="http://schemas.openxmlformats.org/officeDocument/2006/relationships/image" Target="media/image4.jpeg"/><Relationship Id="rId28" Type="http://schemas.openxmlformats.org/officeDocument/2006/relationships/image" Target="media/image4.jpeg"/><Relationship Id="rId29" Type="http://schemas.openxmlformats.org/officeDocument/2006/relationships/image" Target="media/image21.jpeg"/><Relationship Id="rId30" Type="http://schemas.openxmlformats.org/officeDocument/2006/relationships/image" Target="media/image4.jpeg"/><Relationship Id="rId31" Type="http://schemas.openxmlformats.org/officeDocument/2006/relationships/image" Target="media/image4.jpeg"/><Relationship Id="rId32" Type="http://schemas.openxmlformats.org/officeDocument/2006/relationships/image" Target="media/image4.jpeg"/><Relationship Id="rId33" Type="http://schemas.openxmlformats.org/officeDocument/2006/relationships/image" Target="media/image22.jpeg"/><Relationship Id="rId34" Type="http://schemas.openxmlformats.org/officeDocument/2006/relationships/image" Target="media/image23.jpeg"/><Relationship Id="rId35" Type="http://schemas.openxmlformats.org/officeDocument/2006/relationships/image" Target="media/image4.jpeg"/><Relationship Id="rId36" Type="http://schemas.openxmlformats.org/officeDocument/2006/relationships/image" Target="media/image24.jpeg"/><Relationship Id="rId37" Type="http://schemas.openxmlformats.org/officeDocument/2006/relationships/image" Target="media/image25.jpeg"/><Relationship Id="rId38" Type="http://schemas.openxmlformats.org/officeDocument/2006/relationships/image" Target="media/image4.jpeg"/><Relationship Id="rId39" Type="http://schemas.openxmlformats.org/officeDocument/2006/relationships/image" Target="media/image26.jpeg"/><Relationship Id="rId40" Type="http://schemas.openxmlformats.org/officeDocument/2006/relationships/image" Target="media/image27.jpeg"/><Relationship Id="rId41" Type="http://schemas.openxmlformats.org/officeDocument/2006/relationships/image" Target="media/image28.jpeg"/><Relationship Id="rId42" Type="http://schemas.openxmlformats.org/officeDocument/2006/relationships/image" Target="media/image4.jpeg"/><Relationship Id="rId43" Type="http://schemas.openxmlformats.org/officeDocument/2006/relationships/image" Target="media/image29.jpeg"/><Relationship Id="rId44" Type="http://schemas.openxmlformats.org/officeDocument/2006/relationships/image" Target="media/image30.jpeg"/><Relationship Id="rId45" Type="http://schemas.openxmlformats.org/officeDocument/2006/relationships/image" Target="media/image4.jpeg"/><Relationship Id="rId46" Type="http://schemas.openxmlformats.org/officeDocument/2006/relationships/image" Target="media/image31.jpeg"/><Relationship Id="rId47" Type="http://schemas.openxmlformats.org/officeDocument/2006/relationships/image" Target="media/image32.jpeg"/><Relationship Id="rId48" Type="http://schemas.openxmlformats.org/officeDocument/2006/relationships/image" Target="media/image4.jpeg"/><Relationship Id="rId49" Type="http://schemas.openxmlformats.org/officeDocument/2006/relationships/image" Target="media/image4.jpeg"/><Relationship Id="rId50" Type="http://schemas.openxmlformats.org/officeDocument/2006/relationships/image" Target="media/image4.jpeg"/><Relationship Id="rId51" Type="http://schemas.openxmlformats.org/officeDocument/2006/relationships/image" Target="media/image4.jpeg"/><Relationship Id="rId52" Type="http://schemas.openxmlformats.org/officeDocument/2006/relationships/image" Target="media/image33.jpeg"/><Relationship Id="rId53" Type="http://schemas.openxmlformats.org/officeDocument/2006/relationships/image" Target="media/image34.jpeg"/><Relationship Id="rId54" Type="http://schemas.openxmlformats.org/officeDocument/2006/relationships/image" Target="media/image35.jpeg"/><Relationship Id="rId55" Type="http://schemas.openxmlformats.org/officeDocument/2006/relationships/image" Target="media/image36.jpeg"/><Relationship Id="rId56" Type="http://schemas.openxmlformats.org/officeDocument/2006/relationships/image" Target="media/image37.jpeg"/><Relationship Id="rId57" Type="http://schemas.openxmlformats.org/officeDocument/2006/relationships/image" Target="media/image4.jpeg"/><Relationship Id="rId58" Type="http://schemas.openxmlformats.org/officeDocument/2006/relationships/image" Target="media/image38.jpeg"/><Relationship Id="rId59" Type="http://schemas.openxmlformats.org/officeDocument/2006/relationships/image" Target="media/image39.jpeg"/><Relationship Id="rId60" Type="http://schemas.openxmlformats.org/officeDocument/2006/relationships/image" Target="media/image40.jpeg"/><Relationship Id="rId61" Type="http://schemas.openxmlformats.org/officeDocument/2006/relationships/image" Target="media/image41.jpeg"/><Relationship Id="rId62" Type="http://schemas.openxmlformats.org/officeDocument/2006/relationships/image" Target="media/image42.jpeg"/><Relationship Id="rId63" Type="http://schemas.openxmlformats.org/officeDocument/2006/relationships/image" Target="media/image43.jpeg"/><Relationship Id="rId64" Type="http://schemas.openxmlformats.org/officeDocument/2006/relationships/image" Target="media/image4.jpeg"/><Relationship Id="rId65" Type="http://schemas.openxmlformats.org/officeDocument/2006/relationships/image" Target="media/image4.jpeg"/><Relationship Id="rId66" Type="http://schemas.openxmlformats.org/officeDocument/2006/relationships/image" Target="media/image4.jpeg"/><Relationship Id="rId67" Type="http://schemas.openxmlformats.org/officeDocument/2006/relationships/image" Target="media/image16.jpeg"/><Relationship Id="rId68" Type="http://schemas.openxmlformats.org/officeDocument/2006/relationships/image" Target="media/image17.jpeg"/><Relationship Id="rId69" Type="http://schemas.openxmlformats.org/officeDocument/2006/relationships/image" Target="media/image18.jpeg"/><Relationship Id="rId70" Type="http://schemas.openxmlformats.org/officeDocument/2006/relationships/image" Target="media/image19.jpeg"/><Relationship Id="rId71" Type="http://schemas.openxmlformats.org/officeDocument/2006/relationships/image" Target="media/image20.jpeg"/><Relationship Id="rId72" Type="http://schemas.openxmlformats.org/officeDocument/2006/relationships/image" Target="media/image44.jpeg"/><Relationship Id="rId73" Type="http://schemas.openxmlformats.org/officeDocument/2006/relationships/image" Target="media/image4.jpeg"/><Relationship Id="rId74" Type="http://schemas.openxmlformats.org/officeDocument/2006/relationships/image" Target="media/image4.jpeg"/><Relationship Id="rId75" Type="http://schemas.openxmlformats.org/officeDocument/2006/relationships/image" Target="media/image4.jpeg"/><Relationship Id="rId76" Type="http://schemas.openxmlformats.org/officeDocument/2006/relationships/image" Target="media/image16.jpeg"/><Relationship Id="rId77" Type="http://schemas.openxmlformats.org/officeDocument/2006/relationships/image" Target="media/image17.jpeg"/><Relationship Id="rId78" Type="http://schemas.openxmlformats.org/officeDocument/2006/relationships/image" Target="media/image18.jpeg"/><Relationship Id="rId79" Type="http://schemas.openxmlformats.org/officeDocument/2006/relationships/image" Target="media/image19.jpeg"/><Relationship Id="rId80" Type="http://schemas.openxmlformats.org/officeDocument/2006/relationships/image" Target="media/image20.jpeg"/><Relationship Id="rId81" Type="http://schemas.openxmlformats.org/officeDocument/2006/relationships/image" Target="media/image4.jpeg"/><Relationship Id="rId82" Type="http://schemas.openxmlformats.org/officeDocument/2006/relationships/image" Target="media/image4.jpeg"/><Relationship Id="rId83" Type="http://schemas.openxmlformats.org/officeDocument/2006/relationships/image" Target="media/image4.jpeg"/><Relationship Id="rId84" Type="http://schemas.openxmlformats.org/officeDocument/2006/relationships/image" Target="media/image4.jpeg"/><Relationship Id="rId85" Type="http://schemas.openxmlformats.org/officeDocument/2006/relationships/image" Target="media/image4.jpeg"/><Relationship Id="rId86" Type="http://schemas.openxmlformats.org/officeDocument/2006/relationships/image" Target="media/image4.jpeg"/><Relationship Id="rId87" Type="http://schemas.openxmlformats.org/officeDocument/2006/relationships/image" Target="media/image4.jpeg"/><Relationship Id="rId88" Type="http://schemas.openxmlformats.org/officeDocument/2006/relationships/image" Target="media/image4.jpeg"/><Relationship Id="rId89" Type="http://schemas.openxmlformats.org/officeDocument/2006/relationships/image" Target="media/image4.jpeg"/><Relationship Id="rId90" Type="http://schemas.openxmlformats.org/officeDocument/2006/relationships/image" Target="media/image4.jpeg"/><Relationship Id="rId91" Type="http://schemas.openxmlformats.org/officeDocument/2006/relationships/image" Target="media/image4.jpeg"/><Relationship Id="rId92" Type="http://schemas.openxmlformats.org/officeDocument/2006/relationships/image" Target="media/image4.jpeg"/><Relationship Id="rId93" Type="http://schemas.openxmlformats.org/officeDocument/2006/relationships/image" Target="media/image4.jpeg"/><Relationship Id="rId94" Type="http://schemas.openxmlformats.org/officeDocument/2006/relationships/image" Target="media/image4.jpeg"/><Relationship Id="rId95" Type="http://schemas.openxmlformats.org/officeDocument/2006/relationships/image" Target="media/image4.jpeg"/><Relationship Id="rId96" Type="http://schemas.openxmlformats.org/officeDocument/2006/relationships/image" Target="media/image4.jpeg"/><Relationship Id="rId97" Type="http://schemas.openxmlformats.org/officeDocument/2006/relationships/image" Target="media/image4.jpeg"/><Relationship Id="rId98" Type="http://schemas.openxmlformats.org/officeDocument/2006/relationships/image" Target="media/image4.jpeg"/><Relationship Id="rId99" Type="http://schemas.openxmlformats.org/officeDocument/2006/relationships/image" Target="media/image4.jpeg"/><Relationship Id="rId100" Type="http://schemas.openxmlformats.org/officeDocument/2006/relationships/image" Target="media/image4.jpeg"/><Relationship Id="rId101" Type="http://schemas.openxmlformats.org/officeDocument/2006/relationships/image" Target="media/image4.jpeg"/><Relationship Id="rId102" Type="http://schemas.openxmlformats.org/officeDocument/2006/relationships/image" Target="media/image4.jpeg"/><Relationship Id="rId103" Type="http://schemas.openxmlformats.org/officeDocument/2006/relationships/image" Target="media/image4.jpeg"/><Relationship Id="rId104" Type="http://schemas.openxmlformats.org/officeDocument/2006/relationships/image" Target="media/image4.jpeg"/><Relationship Id="rId105" Type="http://schemas.openxmlformats.org/officeDocument/2006/relationships/image" Target="media/image4.jpeg"/><Relationship Id="rId106" Type="http://schemas.openxmlformats.org/officeDocument/2006/relationships/image" Target="media/image4.jpeg"/><Relationship Id="rId107" Type="http://schemas.openxmlformats.org/officeDocument/2006/relationships/image" Target="media/image4.jpeg"/><Relationship Id="rId108" Type="http://schemas.openxmlformats.org/officeDocument/2006/relationships/image" Target="media/image4.jpeg"/><Relationship Id="rId109" Type="http://schemas.openxmlformats.org/officeDocument/2006/relationships/image" Target="media/image4.jpeg"/><Relationship Id="rId110" Type="http://schemas.openxmlformats.org/officeDocument/2006/relationships/image" Target="media/image4.jpeg"/><Relationship Id="rId111" Type="http://schemas.openxmlformats.org/officeDocument/2006/relationships/image" Target="media/image4.jpeg"/><Relationship Id="rId112" Type="http://schemas.openxmlformats.org/officeDocument/2006/relationships/image" Target="media/image45.jpeg"/><Relationship Id="rId113" Type="http://schemas.openxmlformats.org/officeDocument/2006/relationships/image" Target="media/image46.jpeg"/><Relationship Id="rId114" Type="http://schemas.openxmlformats.org/officeDocument/2006/relationships/image" Target="media/image4.jpeg"/><Relationship Id="rId115" Type="http://schemas.openxmlformats.org/officeDocument/2006/relationships/image" Target="media/image47.jpeg"/><Relationship Id="rId116" Type="http://schemas.openxmlformats.org/officeDocument/2006/relationships/image" Target="media/image4.jpeg"/><Relationship Id="rId117" Type="http://schemas.openxmlformats.org/officeDocument/2006/relationships/image" Target="media/image4.jpeg"/><Relationship Id="rId118" Type="http://schemas.openxmlformats.org/officeDocument/2006/relationships/image" Target="media/image4.jpeg"/><Relationship Id="rId119" Type="http://schemas.openxmlformats.org/officeDocument/2006/relationships/image" Target="media/image4.jpeg"/><Relationship Id="rId120" Type="http://schemas.openxmlformats.org/officeDocument/2006/relationships/image" Target="media/image4.jpeg"/><Relationship Id="rId121" Type="http://schemas.openxmlformats.org/officeDocument/2006/relationships/image" Target="media/image4.jpeg"/><Relationship Id="rId122" Type="http://schemas.openxmlformats.org/officeDocument/2006/relationships/image" Target="media/image4.jpeg"/><Relationship Id="rId123" Type="http://schemas.openxmlformats.org/officeDocument/2006/relationships/image" Target="media/image4.jpeg"/><Relationship Id="rId124" Type="http://schemas.openxmlformats.org/officeDocument/2006/relationships/image" Target="media/image48.jpeg"/><Relationship Id="rId125" Type="http://schemas.openxmlformats.org/officeDocument/2006/relationships/image" Target="media/image4.jpeg"/><Relationship Id="rId126" Type="http://schemas.openxmlformats.org/officeDocument/2006/relationships/image" Target="media/image4.jpeg"/><Relationship Id="rId127" Type="http://schemas.openxmlformats.org/officeDocument/2006/relationships/image" Target="media/image4.jpeg"/><Relationship Id="rId128" Type="http://schemas.openxmlformats.org/officeDocument/2006/relationships/image" Target="media/image3.jpeg"/><Relationship Id="rId129" Type="http://schemas.openxmlformats.org/officeDocument/2006/relationships/image" Target="media/image4.jpeg"/><Relationship Id="rId130" Type="http://schemas.openxmlformats.org/officeDocument/2006/relationships/image" Target="media/image4.jpeg"/><Relationship Id="rId131" Type="http://schemas.openxmlformats.org/officeDocument/2006/relationships/image" Target="media/image49.jpeg"/><Relationship Id="rId132" Type="http://schemas.openxmlformats.org/officeDocument/2006/relationships/image" Target="media/image50.jpeg"/><Relationship Id="rId133" Type="http://schemas.openxmlformats.org/officeDocument/2006/relationships/fontTable" Target="fontTable.xml"/><Relationship Id="rId1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39963</Words>
  <Characters>220320</Characters>
  <CharactersWithSpaces>266642</CharactersWithSpaces>
  <Paragraphs>13088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