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9505.xml.htm"/>
      <w:bookmarkStart w:id="1" w:name="kswkform4_17885595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RENDA LARREE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5517 E CALLE IN REDONDA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CASEYS GENERAL STORES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22 shares acquired through dividend reinvestment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the right to receive, following vesting,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Non-employee director equity compensation pursuant to terms and conditions of 2025 Stock Incentive Plan. This award will vest in full on the date of Casey's 2027 annual shareholder's meeting.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Non-employee director equity compensation pursuant to terms and conditions of 2025 Stock Incentive Plan. This award vested in full on the date of Casey's 2026 annual shareholder's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Erika Bertrand, under Power of Attorney dated September 3,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a2025-09x03rendapoahands.htm"/>
      <w:bookmarkStart w:id="3" w:name="ksa202509x03rendapoahands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9878" TargetMode="External"/><Relationship Id="rId5" Type="http://schemas.openxmlformats.org/officeDocument/2006/relationships/hyperlink" Target="http://www.sec.gov/cgi-bin/browse-edgar?action=getcompany&amp;CIK=00007269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690</Words>
  <Characters>3699</Characters>
  <CharactersWithSpaces>4302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a2025-09x03rendapoahands</dc:title>
</cp:coreProperties>
</file>