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Washington, D.C. 20549</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8"/>
        </w:rPr>
        <w:t>FORM 8-K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March 9, 2026</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CASEY'S GENERAL STORES,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6860" w:type="dxa"/>
        <w:jc w:val="center"/>
        <w:tblInd w:w="0" w:type="dxa"/>
        <w:tblLayout w:type="fixed"/>
        <w:tblCellMar>
          <w:top w:w="28" w:type="dxa"/>
          <w:left w:w="28" w:type="dxa"/>
          <w:bottom w:w="28" w:type="dxa"/>
          <w:right w:w="28" w:type="dxa"/>
        </w:tblCellMar>
      </w:tblPr>
      <w:tblGrid>
        <w:gridCol w:w="837"/>
        <w:gridCol w:w="736"/>
        <w:gridCol w:w="736"/>
        <w:gridCol w:w="387"/>
        <w:gridCol w:w="387"/>
        <w:gridCol w:w="387"/>
        <w:gridCol w:w="980"/>
        <w:gridCol w:w="980"/>
        <w:gridCol w:w="1430"/>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6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Iowa</w:t>
            </w:r>
          </w:p>
        </w:tc>
      </w:tr>
      <w:tr>
        <w:trPr/>
        <w:tc>
          <w:tcPr>
            <w:tcW w:w="6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001-34700</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42-0935283</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SE Convenience Blvd., Ankeny, Iowa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50021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515/965-6100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563" w:type="dxa"/>
        <w:jc w:val="center"/>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Item 2.02. </w:t>
      </w:r>
      <w:r>
        <w:rPr>
          <w:rFonts w:ascii="Times New Roman;serif" w:hAnsi="Times New Roman;serif"/>
          <w:b w:val="false"/>
          <w:color w:val="000000"/>
          <w:sz w:val="20"/>
          <w:u w:val="single"/>
        </w:rPr>
        <w:t>Results of Operations and Financial Condition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9, 2026, Casey's General Stores, Inc. (the "Company") issued a press release announcing its financial results for the third quarter ended January 31, 2026 (the "Press Release"). A copy of the Press Release is attached as Exhibit 99.1 and is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Item 9.01. </w:t>
      </w:r>
      <w:r>
        <w:rPr>
          <w:rFonts w:ascii="Times New Roman;serif" w:hAnsi="Times New Roman;serif"/>
          <w:b w:val="false"/>
          <w:color w:val="000000"/>
          <w:sz w:val="20"/>
          <w:u w:val="single"/>
        </w:rPr>
        <w:t>Financial Statements and Exhibits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63" w:type="dxa"/>
        <w:jc w:val="left"/>
        <w:tblInd w:w="0" w:type="dxa"/>
        <w:tblLayout w:type="fixed"/>
        <w:tblCellMar>
          <w:top w:w="28" w:type="dxa"/>
          <w:left w:w="28" w:type="dxa"/>
          <w:bottom w:w="28" w:type="dxa"/>
          <w:right w:w="28" w:type="dxa"/>
        </w:tblCellMar>
      </w:tblPr>
      <w:tblGrid>
        <w:gridCol w:w="385"/>
        <w:gridCol w:w="338"/>
        <w:gridCol w:w="341"/>
        <w:gridCol w:w="1932"/>
        <w:gridCol w:w="1932"/>
        <w:gridCol w:w="2735"/>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fy2026earningspressrelea.htm">
              <w:r>
                <w:rPr>
                  <w:rStyle w:val="InternetLink"/>
                  <w:rFonts w:ascii="Times New Roman;serif" w:hAnsi="Times New Roman;serif"/>
                  <w:b w:val="false"/>
                  <w:color w:val="0000FF"/>
                  <w:sz w:val="20"/>
                  <w:u w:val="single"/>
                </w:rPr>
                <w:t>Press Release issued by Casey's General Stores, Inc. dated March 9,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382" w:type="dxa"/>
        <w:jc w:val="center"/>
        <w:tblInd w:w="0" w:type="dxa"/>
        <w:tblLayout w:type="fixed"/>
        <w:tblCellMar>
          <w:top w:w="28" w:type="dxa"/>
          <w:left w:w="28" w:type="dxa"/>
          <w:bottom w:w="28" w:type="dxa"/>
          <w:right w:w="28" w:type="dxa"/>
        </w:tblCellMar>
      </w:tblPr>
      <w:tblGrid>
        <w:gridCol w:w="683"/>
        <w:gridCol w:w="600"/>
        <w:gridCol w:w="606"/>
        <w:gridCol w:w="134"/>
        <w:gridCol w:w="134"/>
        <w:gridCol w:w="136"/>
        <w:gridCol w:w="902"/>
        <w:gridCol w:w="902"/>
        <w:gridCol w:w="1285"/>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CASEY'S GENERAL STORES,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March 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Stephen P. Bramlage Jr.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Stephen P. Bramlage Jr. </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hanging="2160"/>
        <w:jc w:val="left"/>
        <w:rPr/>
      </w:pPr>
      <w:r>
        <w:rPr/>
      </w:r>
    </w:p>
    <w:p>
      <w:pPr>
        <w:pStyle w:val="TextBody"/>
        <w:bidi w:val="0"/>
        <w:spacing w:before="0" w:after="0"/>
        <w:ind w:left="0" w:right="0" w:hanging="216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drawing>
          <wp:inline distT="0" distB="0" distL="0" distR="0">
            <wp:extent cx="8001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800100" cy="638175"/>
                    </a:xfrm>
                    <a:prstGeom prst="rect">
                      <a:avLst/>
                    </a:prstGeom>
                  </pic:spPr>
                </pic:pic>
              </a:graphicData>
            </a:graphic>
          </wp:inline>
        </w:drawing>
      </w:r>
    </w:p>
    <w:tbl>
      <w:tblPr>
        <w:tblW w:w="2729" w:type="dxa"/>
        <w:jc w:val="left"/>
        <w:tblInd w:w="0" w:type="dxa"/>
        <w:tblLayout w:type="fixed"/>
        <w:tblCellMar>
          <w:top w:w="28" w:type="dxa"/>
          <w:left w:w="28" w:type="dxa"/>
          <w:bottom w:w="28" w:type="dxa"/>
          <w:right w:w="28" w:type="dxa"/>
        </w:tblCellMar>
      </w:tblPr>
      <w:tblGrid>
        <w:gridCol w:w="874"/>
        <w:gridCol w:w="768"/>
        <w:gridCol w:w="1087"/>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rPr>
            </w:pPr>
            <w:r>
              <w:rPr>
                <w:rFonts w:ascii="Times New Roman;serif" w:hAnsi="Times New Roman;serif"/>
                <w:b/>
                <w:i/>
                <w:color w:val="000000"/>
                <w:sz w:val="19"/>
              </w:rPr>
              <w:t>FOR IMMEDIATE RELEASE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Casey’s General Stores, Inc.</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One SE Convenience Blvd</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Ankeny, IA 50021</w:t>
            </w:r>
          </w:p>
        </w:tc>
      </w:tr>
    </w:tbl>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Casey's Announces Third Quarter Results</w:t>
      </w:r>
    </w:p>
    <w:p>
      <w:pPr>
        <w:pStyle w:val="TextBody"/>
        <w:bidi w:val="0"/>
        <w:spacing w:lineRule="auto" w:line="268" w:before="0" w:after="0"/>
        <w:jc w:val="left"/>
        <w:rPr/>
      </w:pPr>
      <w:r>
        <w:rPr>
          <w:rFonts w:ascii="Times New Roman;serif" w:hAnsi="Times New Roman;serif"/>
          <w:b/>
          <w:color w:val="000000"/>
          <w:sz w:val="20"/>
        </w:rPr>
        <w:t>Ankeny, IA, March 9, 2026 -</w:t>
      </w:r>
      <w:r>
        <w:rPr>
          <w:color w:val="000000"/>
        </w:rPr>
        <w:t xml:space="preserve"> </w:t>
      </w:r>
      <w:r>
        <w:rPr>
          <w:rFonts w:ascii="Times New Roman;serif" w:hAnsi="Times New Roman;serif"/>
          <w:b w:val="false"/>
          <w:color w:val="000000"/>
          <w:sz w:val="20"/>
        </w:rPr>
        <w:t>Casey’s General Stores, Inc. ("Casey's" or the "Company") (Nasdaq: CASY) one of the leading convenience store chains in the United States, today announced financial results for the three and nine months ended January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Third Quarter Key Highlights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Diluted EPS of $3.49 up 49.8% from the same period a year ago. Net income was $130.1 million, up 49.3% from the prior year, and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was $308.9 million, up 27.5%, from the same period a year ago. </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Inside same-store sales increased 4.0% compared to prior year, and 7.9% on a two-year stack basis, with an inside margin of 42.2%. Total inside gross profit increased 8.9% to $624.0 million compared to the prior year.</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Same-store fuel gallons were up 0.4% compared to prior year with a fuel margin of 41.0 cents per gallon. Total fuel gross profit increased 15.3% to $348.2 million compared to the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During the quarter, Casey's Rewards surpassed 10 million members.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"Casey's achieved another successful quarter as strong sales and margin expansion drove performance,” said Darren Rebelez, Chairman, President and CEO. “Our high quality inside offering, along with a compelling value proposition, continues to attract guests to our stores. On the fuel side, the team had another sound quarter, expanding fuel margin while reporting positive same-store gallon growth. All of this was anchored by our store level operations team, who continue to meet our guests’ needs in an efficient manner."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Earnings </w:t>
      </w:r>
    </w:p>
    <w:tbl>
      <w:tblPr>
        <w:tblW w:w="8192" w:type="dxa"/>
        <w:jc w:val="center"/>
        <w:tblInd w:w="0" w:type="dxa"/>
        <w:tblLayout w:type="fixed"/>
        <w:tblCellMar>
          <w:top w:w="28" w:type="dxa"/>
          <w:left w:w="28" w:type="dxa"/>
          <w:bottom w:w="28" w:type="dxa"/>
          <w:right w:w="28" w:type="dxa"/>
        </w:tblCellMar>
      </w:tblPr>
      <w:tblGrid>
        <w:gridCol w:w="813"/>
        <w:gridCol w:w="716"/>
        <w:gridCol w:w="720"/>
        <w:gridCol w:w="223"/>
        <w:gridCol w:w="891"/>
        <w:gridCol w:w="115"/>
        <w:gridCol w:w="115"/>
        <w:gridCol w:w="115"/>
        <w:gridCol w:w="115"/>
        <w:gridCol w:w="223"/>
        <w:gridCol w:w="875"/>
        <w:gridCol w:w="115"/>
        <w:gridCol w:w="109"/>
        <w:gridCol w:w="109"/>
        <w:gridCol w:w="109"/>
        <w:gridCol w:w="211"/>
        <w:gridCol w:w="991"/>
        <w:gridCol w:w="109"/>
        <w:gridCol w:w="109"/>
        <w:gridCol w:w="109"/>
        <w:gridCol w:w="109"/>
        <w:gridCol w:w="211"/>
        <w:gridCol w:w="826"/>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(in thousands)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130,073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EBITDA (in thousands)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308,912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net income, diluted EPS, and EBITDA increased compared to the same period a year ago due to higher inside and fuel gross profit, partially offset by higher operating expenses.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EBITDA is reconciled to net income below.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Inside</w:t>
      </w:r>
    </w:p>
    <w:tbl>
      <w:tblPr>
        <w:tblW w:w="10205" w:type="dxa"/>
        <w:jc w:val="left"/>
        <w:tblInd w:w="0" w:type="dxa"/>
        <w:tblLayout w:type="fixed"/>
        <w:tblCellMar>
          <w:top w:w="28" w:type="dxa"/>
          <w:left w:w="28" w:type="dxa"/>
          <w:bottom w:w="28" w:type="dxa"/>
          <w:right w:w="28" w:type="dxa"/>
        </w:tblCellMar>
      </w:tblPr>
      <w:tblGrid>
        <w:gridCol w:w="1224"/>
        <w:gridCol w:w="1013"/>
        <w:gridCol w:w="1018"/>
        <w:gridCol w:w="211"/>
        <w:gridCol w:w="991"/>
        <w:gridCol w:w="301"/>
        <w:gridCol w:w="109"/>
        <w:gridCol w:w="109"/>
        <w:gridCol w:w="109"/>
        <w:gridCol w:w="211"/>
        <w:gridCol w:w="976"/>
        <w:gridCol w:w="271"/>
        <w:gridCol w:w="109"/>
        <w:gridCol w:w="109"/>
        <w:gridCol w:w="109"/>
        <w:gridCol w:w="211"/>
        <w:gridCol w:w="991"/>
        <w:gridCol w:w="301"/>
        <w:gridCol w:w="109"/>
        <w:gridCol w:w="109"/>
        <w:gridCol w:w="109"/>
        <w:gridCol w:w="211"/>
        <w:gridCol w:w="976"/>
        <w:gridCol w:w="318"/>
      </w:tblGrid>
      <w:tr>
        <w:trPr/>
        <w:tc>
          <w:tcPr>
            <w:tcW w:w="12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sales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1,480,203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4,822,459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4,342,056 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same-store sales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Grocery and general merchandise same-store sales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Prepared food and dispensed beverage same-store sales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gross profit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624,034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2,032,923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Inside margin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Grocery and general merchandise margin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Prepared food and dispensed beverage margin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inside sales for the quarter were up 5.7% compared to the prior year. Prepared food and dispensed beverage same-store sales were led by whole pizzas and hot sandwiches while grocery and general merchandise same-store sales had excellent performance in non-alcoholic beverages. Inside margin was up approximately 130 basis points compared to the same quarter a year ago, benefitting from cost of goods management and a favorable product mix shift.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Fuel</w:t>
      </w:r>
      <w:r>
        <w:rPr>
          <w:rFonts w:ascii="Times New Roman;serif" w:hAnsi="Times New Roman;serif"/>
          <w:b/>
          <w:color w:val="000000"/>
          <w:sz w:val="13"/>
        </w:rPr>
        <w:t>2</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350"/>
        <w:gridCol w:w="1174"/>
        <w:gridCol w:w="1181"/>
        <w:gridCol w:w="211"/>
        <w:gridCol w:w="841"/>
        <w:gridCol w:w="301"/>
        <w:gridCol w:w="109"/>
        <w:gridCol w:w="109"/>
        <w:gridCol w:w="109"/>
        <w:gridCol w:w="211"/>
        <w:gridCol w:w="826"/>
        <w:gridCol w:w="271"/>
        <w:gridCol w:w="109"/>
        <w:gridCol w:w="109"/>
        <w:gridCol w:w="109"/>
        <w:gridCol w:w="211"/>
        <w:gridCol w:w="991"/>
        <w:gridCol w:w="301"/>
        <w:gridCol w:w="109"/>
        <w:gridCol w:w="109"/>
        <w:gridCol w:w="109"/>
        <w:gridCol w:w="211"/>
        <w:gridCol w:w="826"/>
        <w:gridCol w:w="318"/>
      </w:tblGrid>
      <w:tr>
        <w:trPr/>
        <w:tc>
          <w:tcPr>
            <w:tcW w:w="135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gallons sold (in thousands)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848,434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2,666,866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2,378,211 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gallons sold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gross profit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348,226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1,099,146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Fuel margin (cents per gallon, excluding credit card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 total fuel gallons sold increased 2.3% compared to the prior year due to the store count increase as well as the same-store gallons increase. The Company’s total fuel gross profit was up 15.3% versus the prior year, due to an increase in gallons sold as well as fuel margin. The Company sold $6.3 million in renewable fuel credits (RINs) in the quarter, an increase of $3.7 million from the same quarter in the prior year.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Operating Expenses</w:t>
      </w:r>
    </w:p>
    <w:tbl>
      <w:tblPr>
        <w:tblW w:w="10205" w:type="dxa"/>
        <w:jc w:val="left"/>
        <w:tblInd w:w="0" w:type="dxa"/>
        <w:tblLayout w:type="fixed"/>
        <w:tblCellMar>
          <w:top w:w="28" w:type="dxa"/>
          <w:left w:w="28" w:type="dxa"/>
          <w:bottom w:w="28" w:type="dxa"/>
          <w:right w:w="28" w:type="dxa"/>
        </w:tblCellMar>
      </w:tblPr>
      <w:tblGrid>
        <w:gridCol w:w="1297"/>
        <w:gridCol w:w="1125"/>
        <w:gridCol w:w="1133"/>
        <w:gridCol w:w="211"/>
        <w:gridCol w:w="841"/>
        <w:gridCol w:w="301"/>
        <w:gridCol w:w="109"/>
        <w:gridCol w:w="109"/>
        <w:gridCol w:w="109"/>
        <w:gridCol w:w="211"/>
        <w:gridCol w:w="826"/>
        <w:gridCol w:w="271"/>
        <w:gridCol w:w="109"/>
        <w:gridCol w:w="109"/>
        <w:gridCol w:w="109"/>
        <w:gridCol w:w="211"/>
        <w:gridCol w:w="991"/>
        <w:gridCol w:w="301"/>
        <w:gridCol w:w="109"/>
        <w:gridCol w:w="109"/>
        <w:gridCol w:w="109"/>
        <w:gridCol w:w="211"/>
        <w:gridCol w:w="976"/>
        <w:gridCol w:w="318"/>
      </w:tblGrid>
      <w:tr>
        <w:trPr/>
        <w:tc>
          <w:tcPr>
            <w:tcW w:w="129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697,640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2,107,403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1,889,353 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fees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63,632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206,830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187,318 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operating expenses excluding credit card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4.1% during the third quarter. The total operating expense comparison benefitted from $13 million in one-time deal and integration costs that were incurred in the prior year, related to the acquisition of Fikes. Operating 31 more stores than prior year accounted for approximately 1% of the increase. Same-store employee expense contributed to approximately 1.5% of the increase, due to increases in labor rates, partially offset by a reduction in same-store labor hours. Snow removal due to unfavorable weather contributed approximately 1% of the increase. Approximately 1.5% of the change is related to an increase in accrued costs for variable incentive compensation and charitable contributions.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Fuel category does not include wholesale fuel or terminal activity, which is included in Other.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Expansion</w:t>
      </w:r>
    </w:p>
    <w:tbl>
      <w:tblPr>
        <w:tblW w:w="3344" w:type="dxa"/>
        <w:jc w:val="left"/>
        <w:tblInd w:w="0" w:type="dxa"/>
        <w:tblLayout w:type="fixed"/>
        <w:tblCellMar>
          <w:top w:w="28" w:type="dxa"/>
          <w:left w:w="28" w:type="dxa"/>
          <w:bottom w:w="28" w:type="dxa"/>
          <w:right w:w="28" w:type="dxa"/>
        </w:tblCellMar>
      </w:tblPr>
      <w:tblGrid>
        <w:gridCol w:w="794"/>
        <w:gridCol w:w="694"/>
        <w:gridCol w:w="702"/>
        <w:gridCol w:w="337"/>
        <w:gridCol w:w="337"/>
        <w:gridCol w:w="480"/>
      </w:tblGrid>
      <w:tr>
        <w:trPr/>
        <w:tc>
          <w:tcPr>
            <w:tcW w:w="7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Store Count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30, 2025</w:t>
            </w:r>
          </w:p>
        </w:tc>
        <w:tc>
          <w:tcPr>
            <w:tcW w:w="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store construction</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not opened</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acquisitions opened</w:t>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Closed or divested</w:t>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31, 2026</w:t>
            </w:r>
          </w:p>
        </w:tc>
        <w:tc>
          <w:tcPr>
            <w:tcW w:w="6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0"/>
          <w:u w:val="single"/>
        </w:rPr>
        <w:t>Liquidity</w:t>
      </w:r>
      <w:r>
        <w:rPr>
          <w:color w:val="000000"/>
          <w:u w:val="single"/>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January 31, 2026, the Company had approximately $1.4 billion in available liquidity, consisting of approximately $465 million in cash and cash equivalents on hand and approximately $900 million in available borrowing capacity on existing lines of credit.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Share Repurchase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the Company repurchased approximately $76 million of shares. The Company has approximately $157 million remaining under its existing share repurchase authorization.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Dividend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its March meeting, the Board of Directors approved a quarterly dividend of $0.57 per share. The dividend is payable May 15, 2026, to shareholders of record on May 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2026 Outlook</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strong financial performance year-to-date, fiscal 2026 EBITDA is expected to increase 18% to 20%. The Company now expects inside same-store sales to increase 3.5% to 4.5% and an inside margin of approximately 41.5% to 42.5%. Total operating expenses are now expected to increase approximately 10%. The tax rate is now expected to be 23.5% to 24.5% for the fiscal year. Net interest expense is expected to be approximately $100 million.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not updating its outlook for the following metrics. The Company expects same-store fuel gallons sold to be negative 1% to positive 1%. The Company expects to open at least 80 stores in fiscal 2026, through a mix of M&amp;A and new store construction, bringing the three-year strategic plan period total to approximately 500 stores. Depreciation and amortization is expected to be approximately $450 million. The purchase of property and equipment is expected to be approximately $600 million.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(Amounts in thousands, except share and per share amounts)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89"/>
        <w:gridCol w:w="1192"/>
        <w:gridCol w:w="1172"/>
        <w:gridCol w:w="211"/>
        <w:gridCol w:w="991"/>
        <w:gridCol w:w="109"/>
        <w:gridCol w:w="109"/>
        <w:gridCol w:w="109"/>
        <w:gridCol w:w="109"/>
        <w:gridCol w:w="211"/>
        <w:gridCol w:w="976"/>
        <w:gridCol w:w="109"/>
        <w:gridCol w:w="109"/>
        <w:gridCol w:w="109"/>
        <w:gridCol w:w="109"/>
        <w:gridCol w:w="211"/>
        <w:gridCol w:w="1096"/>
        <w:gridCol w:w="109"/>
        <w:gridCol w:w="109"/>
        <w:gridCol w:w="109"/>
        <w:gridCol w:w="109"/>
        <w:gridCol w:w="211"/>
        <w:gridCol w:w="1081"/>
        <w:gridCol w:w="156"/>
      </w:tblGrid>
      <w:tr>
        <w:trPr/>
        <w:tc>
          <w:tcPr>
            <w:tcW w:w="13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3,916,132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12,989,322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11,948,141 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depreciation and amortization, shown separately below)</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2,909,580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9,748,638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2,107,403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171,447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37,034,207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37,125,570 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37,105,202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37,112,506 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share-based compensation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206,830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12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37,241,037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37,362,056 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37,310,466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37,325,980 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6"/>
        <w:gridCol w:w="2228"/>
        <w:gridCol w:w="2203"/>
        <w:gridCol w:w="239"/>
        <w:gridCol w:w="1125"/>
        <w:gridCol w:w="123"/>
        <w:gridCol w:w="109"/>
        <w:gridCol w:w="109"/>
        <w:gridCol w:w="109"/>
        <w:gridCol w:w="211"/>
        <w:gridCol w:w="976"/>
        <w:gridCol w:w="157"/>
      </w:tblGrid>
      <w:tr>
        <w:trPr/>
        <w:tc>
          <w:tcPr>
            <w:tcW w:w="261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2025</w:t>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465,019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186,756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440,832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36,291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19,105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current assets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1,148,003</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1,012,853 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436,140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 of amortization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121,692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1,266,489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$3,386,937 at January 31, 2026 and $3,122,203 at April 30, 2025</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5,613,426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5,413,244 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8,585,750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8,208,118 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 and finance lease obligations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101,455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603,347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current portion of operating lease liabilities </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396,893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1,101,695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1,101,693 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finance lease obligations, net of current maturities</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2,331,744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2,413,620 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729,206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462,522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accruals, net of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33,669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73,429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4,732,265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4,699,448 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3,853,485</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3,508,670 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and shareholders’ equity</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8,585,750</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8,208,118 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Casey’s General Stores,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419" w:type="dxa"/>
        <w:jc w:val="left"/>
        <w:tblInd w:w="0" w:type="dxa"/>
        <w:tblLayout w:type="fixed"/>
        <w:tblCellMar>
          <w:top w:w="28" w:type="dxa"/>
          <w:left w:w="28" w:type="dxa"/>
          <w:bottom w:w="28" w:type="dxa"/>
          <w:right w:w="28" w:type="dxa"/>
        </w:tblCellMar>
      </w:tblPr>
      <w:tblGrid>
        <w:gridCol w:w="2431"/>
        <w:gridCol w:w="2141"/>
        <w:gridCol w:w="2147"/>
        <w:gridCol w:w="212"/>
        <w:gridCol w:w="847"/>
        <w:gridCol w:w="109"/>
        <w:gridCol w:w="109"/>
        <w:gridCol w:w="109"/>
        <w:gridCol w:w="109"/>
        <w:gridCol w:w="213"/>
        <w:gridCol w:w="837"/>
        <w:gridCol w:w="155"/>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551,764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excess replacement cost over LIFO inventory valuation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and impairment charges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 of businesses, net of cash acquired</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(512,941)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(1,522,537)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and finance lease obligations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cash dividends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and payment of related excise taxes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on employee share-based awards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05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(327,732)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953,874 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04" w:type="dxa"/>
        <w:jc w:val="left"/>
        <w:tblInd w:w="0" w:type="dxa"/>
        <w:tblLayout w:type="fixed"/>
        <w:tblCellMar>
          <w:top w:w="28" w:type="dxa"/>
          <w:left w:w="28" w:type="dxa"/>
          <w:bottom w:w="28" w:type="dxa"/>
          <w:right w:w="28" w:type="dxa"/>
        </w:tblCellMar>
      </w:tblPr>
      <w:tblGrid>
        <w:gridCol w:w="1603"/>
        <w:gridCol w:w="1407"/>
        <w:gridCol w:w="1415"/>
        <w:gridCol w:w="211"/>
        <w:gridCol w:w="841"/>
        <w:gridCol w:w="109"/>
        <w:gridCol w:w="109"/>
        <w:gridCol w:w="109"/>
        <w:gridCol w:w="109"/>
        <w:gridCol w:w="211"/>
        <w:gridCol w:w="82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465,019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FLOWS INFORMATION</w:t>
      </w:r>
    </w:p>
    <w:tbl>
      <w:tblPr>
        <w:tblW w:w="9311" w:type="dxa"/>
        <w:jc w:val="left"/>
        <w:tblInd w:w="0" w:type="dxa"/>
        <w:tblLayout w:type="fixed"/>
        <w:tblCellMar>
          <w:top w:w="28" w:type="dxa"/>
          <w:left w:w="28" w:type="dxa"/>
          <w:bottom w:w="28" w:type="dxa"/>
          <w:right w:w="28" w:type="dxa"/>
        </w:tblCellMar>
      </w:tblPr>
      <w:tblGrid>
        <w:gridCol w:w="2393"/>
        <w:gridCol w:w="2099"/>
        <w:gridCol w:w="2122"/>
        <w:gridCol w:w="230"/>
        <w:gridCol w:w="805"/>
        <w:gridCol w:w="119"/>
        <w:gridCol w:w="119"/>
        <w:gridCol w:w="119"/>
        <w:gridCol w:w="119"/>
        <w:gridCol w:w="230"/>
        <w:gridCol w:w="788"/>
        <w:gridCol w:w="168"/>
      </w:tblGrid>
      <w:tr>
        <w:trPr/>
        <w:tc>
          <w:tcPr>
            <w:tcW w:w="239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82,186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104,753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Purchased property and equipment in accounts payable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78,080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finance lease liabilities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Right-of-use assets obtained in exchange for new operating lease liabilities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43,026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84"/>
        <w:gridCol w:w="505"/>
        <w:gridCol w:w="508"/>
        <w:gridCol w:w="294"/>
        <w:gridCol w:w="1127"/>
        <w:gridCol w:w="429"/>
        <w:gridCol w:w="109"/>
        <w:gridCol w:w="109"/>
        <w:gridCol w:w="109"/>
        <w:gridCol w:w="205"/>
        <w:gridCol w:w="929"/>
        <w:gridCol w:w="299"/>
        <w:gridCol w:w="109"/>
        <w:gridCol w:w="109"/>
        <w:gridCol w:w="109"/>
        <w:gridCol w:w="196"/>
        <w:gridCol w:w="886"/>
        <w:gridCol w:w="286"/>
        <w:gridCol w:w="109"/>
        <w:gridCol w:w="109"/>
        <w:gridCol w:w="109"/>
        <w:gridCol w:w="196"/>
        <w:gridCol w:w="751"/>
        <w:gridCol w:w="286"/>
        <w:gridCol w:w="109"/>
        <w:gridCol w:w="109"/>
        <w:gridCol w:w="109"/>
        <w:gridCol w:w="196"/>
        <w:gridCol w:w="886"/>
        <w:gridCol w:w="334"/>
      </w:tblGrid>
      <w:tr>
        <w:trPr/>
        <w:tc>
          <w:tcPr>
            <w:tcW w:w="58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by Category</w:t>
            </w:r>
            <w:r>
              <w:rPr>
                <w:color w:val="000000"/>
              </w:rPr>
              <w:t xml:space="preserve"> </w:t>
            </w:r>
            <w:r>
              <w:rPr>
                <w:rFonts w:ascii="Times New Roman;serif" w:hAnsi="Times New Roman;serif"/>
                <w:b w:val="false"/>
                <w:color w:val="000000"/>
                <w:sz w:val="18"/>
              </w:rPr>
              <w:t>(Amounts in thousands)</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January 31, 2026</w:t>
            </w:r>
          </w:p>
        </w:tc>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w:t>
              <w:br/>
              <w:t>Merchandise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422,975</w:t>
            </w:r>
            <w:r>
              <w:rPr>
                <w:color w:val="000000"/>
              </w:rPr>
              <w:t>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1,057,228</w:t>
            </w: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2,309,707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126,222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3,916,132</w:t>
            </w: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246,483</w:t>
            </w: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377,551</w:t>
            </w: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348,226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34,292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1,006,552</w:t>
            </w: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w:t>
            </w: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w:t>
            </w: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w:t>
            </w: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Fuel gallons sold</w:t>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848,434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Ended January 31, 2025</w:t>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397,151 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1,003,274 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2,366,822 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3,903,633 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229,535 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343,544 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912,568 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gallons sold</w:t>
            </w:r>
          </w:p>
        </w:tc>
        <w:tc>
          <w:tcPr>
            <w:tcW w:w="1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3"/>
        <w:gridCol w:w="460"/>
        <w:gridCol w:w="462"/>
        <w:gridCol w:w="266"/>
        <w:gridCol w:w="1203"/>
        <w:gridCol w:w="388"/>
        <w:gridCol w:w="109"/>
        <w:gridCol w:w="109"/>
        <w:gridCol w:w="109"/>
        <w:gridCol w:w="211"/>
        <w:gridCol w:w="957"/>
        <w:gridCol w:w="308"/>
        <w:gridCol w:w="109"/>
        <w:gridCol w:w="109"/>
        <w:gridCol w:w="109"/>
        <w:gridCol w:w="196"/>
        <w:gridCol w:w="886"/>
        <w:gridCol w:w="286"/>
        <w:gridCol w:w="109"/>
        <w:gridCol w:w="109"/>
        <w:gridCol w:w="109"/>
        <w:gridCol w:w="196"/>
        <w:gridCol w:w="751"/>
        <w:gridCol w:w="286"/>
        <w:gridCol w:w="109"/>
        <w:gridCol w:w="109"/>
        <w:gridCol w:w="109"/>
        <w:gridCol w:w="196"/>
        <w:gridCol w:w="976"/>
        <w:gridCol w:w="336"/>
      </w:tblGrid>
      <w:tr>
        <w:trPr/>
        <w:tc>
          <w:tcPr>
            <w:tcW w:w="53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by Category</w:t>
            </w:r>
            <w:r>
              <w:rPr>
                <w:color w:val="000000"/>
              </w:rPr>
              <w:t xml:space="preserve"> </w:t>
            </w:r>
            <w:r>
              <w:rPr>
                <w:rFonts w:ascii="Times New Roman;serif" w:hAnsi="Times New Roman;serif"/>
                <w:b w:val="false"/>
                <w:color w:val="000000"/>
                <w:sz w:val="18"/>
              </w:rPr>
              <w:t>(Amounts in thousands)</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January 31, 2026</w:t>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w:t>
              <w:br/>
              <w:t>General Merchandise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1,349,208</w:t>
            </w: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3,473,251</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7,730,655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436,208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12,989,322</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786,710</w:t>
            </w: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1,246,213</w:t>
            </w: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1,099,146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108,615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3,240,684</w:t>
            </w: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w:t>
            </w: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w:t>
            </w: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24.9</w:t>
            </w: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Fuel gallons sold</w:t>
            </w:r>
          </w:p>
        </w:tc>
        <w:tc>
          <w:tcPr>
            <w:tcW w:w="1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2,666,866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Nine Months Ended January 31, 2025</w:t>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1,220,107 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3,121,949 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7,337,096 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11,948,141 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711,034 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1,096,018 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2,826,383 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gallons sold</w:t>
            </w:r>
          </w:p>
        </w:tc>
        <w:tc>
          <w:tcPr>
            <w:tcW w:w="1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1393"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34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Prepared Food &amp; Dispensed Beverage</w:t>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Margin</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58.2</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393"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286"/>
        <w:gridCol w:w="109"/>
        <w:gridCol w:w="109"/>
        <w:gridCol w:w="109"/>
        <w:gridCol w:w="240"/>
        <w:gridCol w:w="241"/>
        <w:gridCol w:w="34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 Merchandise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Grocery &amp; General Merchandise</w:t>
            </w:r>
          </w:p>
        </w:tc>
      </w:tr>
      <w:tr>
        <w:trPr/>
        <w:tc>
          <w:tcPr>
            <w:tcW w:w="529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73"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Margin</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w:t>
            </w: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1004" w:type="dxa"/>
        <w:jc w:val="center"/>
        <w:tblInd w:w="0" w:type="dxa"/>
        <w:tblLayout w:type="fixed"/>
        <w:tblCellMar>
          <w:top w:w="28" w:type="dxa"/>
          <w:left w:w="28" w:type="dxa"/>
          <w:bottom w:w="28" w:type="dxa"/>
          <w:right w:w="28" w:type="dxa"/>
        </w:tblCellMar>
      </w:tblPr>
      <w:tblGrid>
        <w:gridCol w:w="212"/>
        <w:gridCol w:w="186"/>
        <w:gridCol w:w="188"/>
        <w:gridCol w:w="195"/>
        <w:gridCol w:w="196"/>
        <w:gridCol w:w="286"/>
        <w:gridCol w:w="109"/>
        <w:gridCol w:w="109"/>
        <w:gridCol w:w="109"/>
        <w:gridCol w:w="210"/>
        <w:gridCol w:w="196"/>
        <w:gridCol w:w="286"/>
        <w:gridCol w:w="109"/>
        <w:gridCol w:w="109"/>
        <w:gridCol w:w="109"/>
        <w:gridCol w:w="195"/>
        <w:gridCol w:w="196"/>
        <w:gridCol w:w="286"/>
        <w:gridCol w:w="109"/>
        <w:gridCol w:w="109"/>
        <w:gridCol w:w="109"/>
        <w:gridCol w:w="195"/>
        <w:gridCol w:w="196"/>
        <w:gridCol w:w="286"/>
        <w:gridCol w:w="109"/>
        <w:gridCol w:w="109"/>
        <w:gridCol w:w="109"/>
        <w:gridCol w:w="195"/>
        <w:gridCol w:w="196"/>
        <w:gridCol w:w="300"/>
        <w:gridCol w:w="109"/>
        <w:gridCol w:w="109"/>
        <w:gridCol w:w="109"/>
        <w:gridCol w:w="190"/>
        <w:gridCol w:w="190"/>
        <w:gridCol w:w="191"/>
        <w:gridCol w:w="240"/>
        <w:gridCol w:w="241"/>
        <w:gridCol w:w="196"/>
        <w:gridCol w:w="109"/>
        <w:gridCol w:w="109"/>
        <w:gridCol w:w="109"/>
        <w:gridCol w:w="240"/>
        <w:gridCol w:w="241"/>
        <w:gridCol w:w="196"/>
        <w:gridCol w:w="109"/>
        <w:gridCol w:w="109"/>
        <w:gridCol w:w="109"/>
        <w:gridCol w:w="240"/>
        <w:gridCol w:w="241"/>
        <w:gridCol w:w="196"/>
        <w:gridCol w:w="109"/>
        <w:gridCol w:w="109"/>
        <w:gridCol w:w="109"/>
        <w:gridCol w:w="240"/>
        <w:gridCol w:w="241"/>
        <w:gridCol w:w="196"/>
        <w:gridCol w:w="109"/>
        <w:gridCol w:w="109"/>
        <w:gridCol w:w="109"/>
        <w:gridCol w:w="240"/>
        <w:gridCol w:w="241"/>
        <w:gridCol w:w="30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30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 Gallons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Fuel Margin</w:t>
            </w:r>
          </w:p>
        </w:tc>
      </w:tr>
      <w:tr>
        <w:trPr/>
        <w:tc>
          <w:tcPr>
            <w:tcW w:w="5308"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Same-store Sales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369"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(Cents per gallon, excluding credit card fees)</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Fiscal</w:t>
              <w:br/>
              <w:t>Year</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F2026</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F2025</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100" w:after="283"/>
        <w:jc w:val="both"/>
        <w:rPr>
          <w:rFonts w:ascii="Times New Roman;serif" w:hAnsi="Times New Roman;serif"/>
          <w:b/>
          <w:color w:val="000000"/>
          <w:sz w:val="20"/>
        </w:rPr>
      </w:pPr>
      <w:r>
        <w:rPr>
          <w:rFonts w:ascii="Times New Roman;serif" w:hAnsi="Times New Roman;serif"/>
          <w:b/>
          <w:color w:val="000000"/>
          <w:sz w:val="20"/>
        </w:rPr>
        <w:t>RECONCILIATION OF NET INCOME TO EBITDA</w:t>
      </w:r>
    </w:p>
    <w:p>
      <w:pPr>
        <w:pStyle w:val="TextBody"/>
        <w:bidi w:val="0"/>
        <w:spacing w:lineRule="auto" w:line="288" w:before="12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EBITDA as net income before net interest expense, income taxes, and depreciation and amortization. EBITDA is not considered to be a GAAP measure, and should not be considered as a substitute for net income, cash flows from operating activities or other income or cash flow statement data. This measure has limitations as an analytical tool, and should not be considered in isolation or as a substitute for analysis of our results as reported under GAAP. We strongly encourage investors to review our financial statements and publicly filed reports in their entirety and not to rely on any single financial measure.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EBITDA is useful to investors in evaluating our operating performance because securities analysts and other interested parties use this calculation as a measure of financial performance and debt service capabilities, and it is regularly used by management for internal purposes including our capital budgeting process, evaluating acquisition targets, assessing performance, and awarding incentive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non-GAAP financial measures are not standardized, EBITDA, as defined by us, may not be comparable to similarly titled measures reported by other companies. It therefore may not be possible to compare our use of this non-GAAP financial measure with those used by other companies.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a reconciliation of net income to EBITDA for the three and nine months ended January 31, 2026 and 2025:</w:t>
      </w:r>
    </w:p>
    <w:tbl>
      <w:tblPr>
        <w:tblW w:w="8537" w:type="dxa"/>
        <w:jc w:val="left"/>
        <w:tblInd w:w="0" w:type="dxa"/>
        <w:tblLayout w:type="fixed"/>
        <w:tblCellMar>
          <w:top w:w="28" w:type="dxa"/>
          <w:left w:w="28" w:type="dxa"/>
          <w:bottom w:w="28" w:type="dxa"/>
          <w:right w:w="28" w:type="dxa"/>
        </w:tblCellMar>
      </w:tblPr>
      <w:tblGrid>
        <w:gridCol w:w="938"/>
        <w:gridCol w:w="826"/>
        <w:gridCol w:w="830"/>
        <w:gridCol w:w="223"/>
        <w:gridCol w:w="891"/>
        <w:gridCol w:w="115"/>
        <w:gridCol w:w="115"/>
        <w:gridCol w:w="115"/>
        <w:gridCol w:w="115"/>
        <w:gridCol w:w="223"/>
        <w:gridCol w:w="875"/>
        <w:gridCol w:w="115"/>
        <w:gridCol w:w="109"/>
        <w:gridCol w:w="109"/>
        <w:gridCol w:w="109"/>
        <w:gridCol w:w="211"/>
        <w:gridCol w:w="991"/>
        <w:gridCol w:w="109"/>
        <w:gridCol w:w="109"/>
        <w:gridCol w:w="109"/>
        <w:gridCol w:w="109"/>
        <w:gridCol w:w="211"/>
        <w:gridCol w:w="82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78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January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130,073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23,381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41,374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114,084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308,912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1,133,281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NOTES: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Gross profit is defined as revenue less cost of goods sold (exclusive of depreciation and amortization)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Inside is defined as the combination of grocery and general merchandise and prepared food and dispensed beverage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statements that may constitute forward-looking statements within the meaning of the Private Securities Litigation Reform Act of 1995, including those related to expectations for future periods, possible or assumed future results of operations, financial conditions, liquidity and related sources or needs, business and/or integration strategies, plans and synergies, supply chain, growth opportunities, and performance at our stores. There are a number of known and unknown risks, uncertainties, and other factors that may cause our actual results to differ materially from any results expressed or implied by these forward-looking statements, including but not limited to the execution of our strategic plan, the integration and financial performance of acquired stores, wholesale fuel, inventory and ingredient costs, distribution challenges and disruptions, the impact and duration of conflicts in oil producing regions or other geopolitical disruptions, as well as other risks, uncertainties and factors which are described in the Company’s most recent annual report on Form 10-K and quarterly reports on Form 10-Q, as filed with the Securities and Exchange Commission and available on our website. Any forward-looking statements contained in this release represent our current views as of the date of this release with respect to future events, and Casey’s disclaims any intention or obligation to update or revise any forward-looking statements in the release whether as a result of new information, future events, or otherwise.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Corporate information is available at this website: </w:t>
      </w:r>
      <w:r>
        <w:rPr>
          <w:rFonts w:ascii="Times New Roman;serif" w:hAnsi="Times New Roman;serif"/>
          <w:b w:val="false"/>
          <w:i/>
          <w:color w:val="0563C1"/>
          <w:sz w:val="20"/>
          <w:u w:val="single"/>
        </w:rPr>
        <w:t>https://www.caseys.com</w:t>
      </w:r>
      <w:r>
        <w:rPr>
          <w:rFonts w:ascii="Times New Roman;serif" w:hAnsi="Times New Roman;serif"/>
          <w:b w:val="false"/>
          <w:i/>
          <w:color w:val="000000"/>
          <w:sz w:val="20"/>
        </w:rPr>
        <w:t>. Earnings will be reported during a conference call on March 10, 2026. The call will be broadcast live over the Internet at 7:30 a.m. CDT. To access the call, go to the Events and Presentations section of our website at https://investor.caseys.com/events-presentations.  No access code is required. A webcast replay of the call will remain available in an archived format on the Events and Presentations section of our website at https://investor.caseys.com/events-presentations for one year after the call.</w:t>
      </w:r>
    </w:p>
    <w:p>
      <w:pPr>
        <w:pStyle w:val="TextBody"/>
        <w:bidi w:val="0"/>
        <w:spacing w:before="0" w:after="0"/>
        <w:jc w:val="left"/>
        <w:rPr/>
      </w:pPr>
      <w:r>
        <w:rPr/>
      </w:r>
    </w:p>
    <w:p>
      <w:pPr>
        <w:pStyle w:val="TextBody"/>
        <w:bidi w:val="0"/>
        <w:spacing w:before="0" w:after="0"/>
        <w:jc w:val="left"/>
        <w:rPr/>
      </w:pPr>
      <w:r>
        <w:rPr/>
      </w:r>
    </w:p>
    <w:tbl>
      <w:tblPr>
        <w:tblW w:w="5129" w:type="dxa"/>
        <w:jc w:val="left"/>
        <w:tblInd w:w="0" w:type="dxa"/>
        <w:tblLayout w:type="fixed"/>
        <w:tblCellMar>
          <w:top w:w="28" w:type="dxa"/>
          <w:left w:w="28" w:type="dxa"/>
          <w:bottom w:w="28" w:type="dxa"/>
          <w:right w:w="28" w:type="dxa"/>
        </w:tblCellMar>
      </w:tblPr>
      <w:tblGrid>
        <w:gridCol w:w="973"/>
        <w:gridCol w:w="853"/>
        <w:gridCol w:w="858"/>
        <w:gridCol w:w="716"/>
        <w:gridCol w:w="716"/>
        <w:gridCol w:w="1013"/>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Investor Relations Contact:</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Media Relations Contact: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Brian Johnson (515) 446-6587</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Katie Petru (515) 446-6772</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CASY-IR</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3332</Words>
  <Characters>17944</Characters>
  <CharactersWithSpaces>20746</CharactersWithSpaces>
  <Paragraphs>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