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4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before="40" w:after="4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quarterly period ended July 31, 2026</w:t>
      </w:r>
      <w:r>
        <w:rPr>
          <w:color w:val="000000"/>
        </w:rPr>
        <w:t xml:space="preserve"> </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200" w:after="283"/>
        <w:jc w:val="center"/>
        <w:rPr/>
      </w:pPr>
      <w:r>
        <w:rPr>
          <w:rFonts w:ascii="Times New Roman;serif" w:hAnsi="Times New Roman;serif"/>
          <w:b/>
          <w:color w:val="000000"/>
          <w:sz w:val="18"/>
        </w:rPr>
        <w:t>Commission File Number 001-34700</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color w:val="000000"/>
          <w:sz w:val="48"/>
        </w:rPr>
      </w:pPr>
      <w:r>
        <w:rPr>
          <w:rFonts w:ascii="Times New Roman;serif" w:hAnsi="Times New Roman;serif"/>
          <w:b/>
          <w:color w:val="000000"/>
          <w:sz w:val="48"/>
        </w:rPr>
        <w:t xml:space="preserve">CASEY’S GENERAL STORES,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0" w:after="0"/>
        <w:jc w:val="center"/>
        <w:rPr/>
      </w:pPr>
      <w:r>
        <w:rPr/>
      </w:r>
    </w:p>
    <w:tbl>
      <w:tblPr>
        <w:tblW w:w="4512"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530"/>
        <w:gridCol w:w="530"/>
        <w:gridCol w:w="755"/>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Iowa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42-0935283</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One SE Convenience Blvd., Ankeny, Iowa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50021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(515) 965-6100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pPr>
      <w:r>
        <w:rPr>
          <w:rFonts w:ascii="Times New Roman;serif" w:hAnsi="Times New Roman;serif"/>
          <w:b/>
          <w:color w:val="000000"/>
          <w:sz w:val="20"/>
        </w:rPr>
        <w:t>Securities Registered pursuant to Section 12(b) of the Act</w:t>
      </w:r>
      <w:r>
        <w:rPr>
          <w:color w:val="000000"/>
        </w:rPr>
        <w:t> </w:t>
      </w:r>
    </w:p>
    <w:tbl>
      <w:tblPr>
        <w:tblW w:w="8563" w:type="dxa"/>
        <w:jc w:val="center"/>
        <w:tblInd w:w="0" w:type="dxa"/>
        <w:tblLayout w:type="fixed"/>
        <w:tblCellMar>
          <w:top w:w="28" w:type="dxa"/>
          <w:left w:w="28" w:type="dxa"/>
          <w:bottom w:w="28" w:type="dxa"/>
          <w:right w:w="28" w:type="dxa"/>
        </w:tblCellMar>
      </w:tblPr>
      <w:tblGrid>
        <w:gridCol w:w="1173"/>
        <w:gridCol w:w="1027"/>
        <w:gridCol w:w="1039"/>
        <w:gridCol w:w="539"/>
        <w:gridCol w:w="539"/>
        <w:gridCol w:w="541"/>
        <w:gridCol w:w="1085"/>
        <w:gridCol w:w="1085"/>
        <w:gridCol w:w="1535"/>
      </w:tblGrid>
      <w:tr>
        <w:trPr/>
        <w:tc>
          <w:tcPr>
            <w:tcW w:w="117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2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CASY</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w:t>
      </w:r>
    </w:p>
    <w:p>
      <w:pPr>
        <w:pStyle w:val="TextBody"/>
        <w:bidi w:val="0"/>
        <w:spacing w:lineRule="auto" w:line="288" w:before="240" w:after="283"/>
        <w:jc w:val="center"/>
        <w:rPr/>
      </w:pPr>
      <w:r>
        <w:rPr>
          <w:rFonts w:ascii="Times New Roman;serif" w:hAnsi="Times New Roman;serif"/>
          <w:b/>
          <w:color w:val="000000"/>
          <w:sz w:val="20"/>
        </w:rPr>
        <w:t>NONE</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9610"/>
                <wp:effectExtent l="0" t="0" r="0" b="0"/>
                <wp:wrapNone/>
                <wp:docPr id="1" name="Frame1"/>
                <a:graphic xmlns:a="http://schemas.openxmlformats.org/drawingml/2006/main">
                  <a:graphicData uri="http://schemas.microsoft.com/office/word/2010/wordprocessingShape">
                    <wps:wsp>
                      <wps:cNvSpPr txBox="1"/>
                      <wps:spPr>
                        <a:xfrm>
                          <a:off x="0" y="0"/>
                          <a:ext cx="6480175" cy="68961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7033" w:type="dxa"/>
        <w:jc w:val="left"/>
        <w:tblInd w:w="0" w:type="dxa"/>
        <w:tblLayout w:type="fixed"/>
        <w:tblCellMar>
          <w:top w:w="28" w:type="dxa"/>
          <w:left w:w="28" w:type="dxa"/>
          <w:bottom w:w="28" w:type="dxa"/>
          <w:right w:w="28" w:type="dxa"/>
        </w:tblCellMar>
      </w:tblPr>
      <w:tblGrid>
        <w:gridCol w:w="755"/>
        <w:gridCol w:w="664"/>
        <w:gridCol w:w="666"/>
        <w:gridCol w:w="109"/>
        <w:gridCol w:w="109"/>
        <w:gridCol w:w="109"/>
        <w:gridCol w:w="694"/>
        <w:gridCol w:w="694"/>
        <w:gridCol w:w="697"/>
        <w:gridCol w:w="109"/>
        <w:gridCol w:w="109"/>
        <w:gridCol w:w="109"/>
        <w:gridCol w:w="539"/>
        <w:gridCol w:w="539"/>
        <w:gridCol w:w="541"/>
        <w:gridCol w:w="109"/>
        <w:gridCol w:w="109"/>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18"/>
        </w:rPr>
        <w:t>Indicated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issuer’s classes of common stock, as of the latest practicable date.</w:t>
      </w:r>
    </w:p>
    <w:tbl>
      <w:tblPr>
        <w:tblW w:w="6207" w:type="dxa"/>
        <w:jc w:val="left"/>
        <w:tblInd w:w="0" w:type="dxa"/>
        <w:tblLayout w:type="fixed"/>
        <w:tblCellMar>
          <w:top w:w="28" w:type="dxa"/>
          <w:left w:w="28" w:type="dxa"/>
          <w:bottom w:w="28" w:type="dxa"/>
          <w:right w:w="28" w:type="dxa"/>
        </w:tblCellMar>
      </w:tblPr>
      <w:tblGrid>
        <w:gridCol w:w="1122"/>
        <w:gridCol w:w="986"/>
        <w:gridCol w:w="997"/>
        <w:gridCol w:w="109"/>
        <w:gridCol w:w="109"/>
        <w:gridCol w:w="109"/>
        <w:gridCol w:w="811"/>
        <w:gridCol w:w="811"/>
        <w:gridCol w:w="1153"/>
      </w:tblGrid>
      <w:tr>
        <w:trPr/>
        <w:tc>
          <w:tcPr>
            <w:tcW w:w="112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Outstanding at September 2, 2026</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no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36,960,167 shares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89610"/>
                <wp:effectExtent l="0" t="0" r="0" b="0"/>
                <wp:wrapNone/>
                <wp:docPr id="2" name="Frame2"/>
                <a:graphic xmlns:a="http://schemas.openxmlformats.org/drawingml/2006/main">
                  <a:graphicData uri="http://schemas.microsoft.com/office/word/2010/wordprocessingShape">
                    <wps:wsp>
                      <wps:cNvSpPr txBox="1"/>
                      <wps:spPr>
                        <a:xfrm>
                          <a:off x="0" y="0"/>
                          <a:ext cx="6480175" cy="68961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CASEY’S GENERAL STORES,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2"/>
        <w:gridCol w:w="248"/>
        <w:gridCol w:w="251"/>
        <w:gridCol w:w="394"/>
        <w:gridCol w:w="377"/>
        <w:gridCol w:w="377"/>
        <w:gridCol w:w="2603"/>
        <w:gridCol w:w="2579"/>
        <w:gridCol w:w="2580"/>
        <w:gridCol w:w="149"/>
        <w:gridCol w:w="149"/>
        <w:gridCol w:w="216"/>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89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e81585d558c40dfb6de5e9cd039788d_10">
              <w:r>
                <w:rPr>
                  <w:rStyle w:val="InternetLink"/>
                  <w:rFonts w:ascii="Times New Roman;serif" w:hAnsi="Times New Roman;serif"/>
                  <w:b w:val="false"/>
                  <w:color w:val="0000FF"/>
                  <w:sz w:val="20"/>
                  <w:u w:val="single"/>
                </w:rPr>
                <w:t>FINANCIAL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81585d558c40dfb6de5e9cd039788d_13">
              <w:r>
                <w:rPr>
                  <w:rStyle w:val="InternetLink"/>
                  <w:rFonts w:ascii="Times New Roman;serif" w:hAnsi="Times New Roman;serif"/>
                  <w:b w:val="false"/>
                  <w:color w:val="0000FF"/>
                  <w:sz w:val="20"/>
                  <w:u w:val="single"/>
                </w:rPr>
                <w:t>Condensed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81585d558c40dfb6de5e9cd039788d_16">
              <w:r>
                <w:rPr>
                  <w:rStyle w:val="InternetLink"/>
                  <w:rFonts w:ascii="Times New Roman;serif" w:hAnsi="Times New Roman;serif"/>
                  <w:b w:val="false"/>
                  <w:color w:val="000080"/>
                  <w:sz w:val="20"/>
                  <w:u w:val="single"/>
                </w:rPr>
                <w:t>Condensed consolidated balance sheets---as of J</w:t>
              </w:r>
            </w:hyperlink>
            <w:hyperlink w:anchor="i2e81585d558c40dfb6de5e9cd039788d_16">
              <w:r>
                <w:rPr>
                  <w:rStyle w:val="InternetLink"/>
                  <w:rFonts w:ascii="Times New Roman;serif" w:hAnsi="Times New Roman;serif"/>
                  <w:b w:val="false"/>
                  <w:color w:val="000080"/>
                  <w:sz w:val="20"/>
                  <w:u w:val="single"/>
                </w:rPr>
                <w:t>uly</w:t>
              </w:r>
            </w:hyperlink>
            <w:hyperlink w:anchor="i2e81585d558c40dfb6de5e9cd039788d_16">
              <w:r>
                <w:rPr>
                  <w:rStyle w:val="InternetLink"/>
                  <w:rFonts w:ascii="Times New Roman;serif" w:hAnsi="Times New Roman;serif"/>
                  <w:b w:val="false"/>
                  <w:color w:val="000080"/>
                  <w:sz w:val="20"/>
                  <w:u w:val="single"/>
                </w:rPr>
                <w:t xml:space="preserve"> 31, 2026 and April 30, 202</w:t>
              </w:r>
            </w:hyperlink>
            <w:hyperlink w:anchor="i2e81585d558c40dfb6de5e9cd039788d_16">
              <w:r>
                <w:rPr>
                  <w:rStyle w:val="InternetLink"/>
                  <w:rFonts w:ascii="Times New Roman;serif" w:hAnsi="Times New Roman;serif"/>
                  <w:b w:val="false"/>
                  <w:color w:val="000080"/>
                  <w:sz w:val="20"/>
                  <w:u w:val="single"/>
                </w:rPr>
                <w:t>6</w:t>
              </w:r>
            </w:hyperlink>
            <w:hyperlink w:anchor="i2e81585d558c40dfb6de5e9cd039788d_16">
              <w:r>
                <w:rPr>
                  <w:rStyle w:val="InternetLink"/>
                  <w:rFonts w:ascii="Times New Roman;serif" w:hAnsi="Times New Roman;serif"/>
                  <w:b w:val="false"/>
                  <w:color w:val="000080"/>
                  <w:sz w:val="20"/>
                  <w:u w:val="single"/>
                </w:rPr>
                <w:t xml:space="preserve">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81585d558c40dfb6de5e9cd039788d_16">
              <w:r>
                <w:rPr>
                  <w:rStyle w:val="InternetLink"/>
                  <w:rFonts w:ascii="Times New Roman;serif" w:hAnsi="Times New Roman;serif"/>
                  <w:b w:val="false"/>
                  <w:color w:val="0000FF"/>
                  <w:sz w:val="20"/>
                  <w:u w:val="single"/>
                </w:rPr>
                <w:t>4</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81585d558c40dfb6de5e9cd039788d_19">
              <w:r>
                <w:rPr>
                  <w:rStyle w:val="InternetLink"/>
                  <w:rFonts w:ascii="Times New Roman;serif" w:hAnsi="Times New Roman;serif"/>
                  <w:b w:val="false"/>
                  <w:color w:val="000080"/>
                  <w:sz w:val="20"/>
                  <w:u w:val="single"/>
                </w:rPr>
                <w:t xml:space="preserve">Condensed consolidated statements of income---three </w:t>
              </w:r>
            </w:hyperlink>
            <w:hyperlink w:anchor="i2e81585d558c40dfb6de5e9cd039788d_19">
              <w:r>
                <w:rPr>
                  <w:rStyle w:val="InternetLink"/>
                  <w:rFonts w:ascii="Times New Roman;serif" w:hAnsi="Times New Roman;serif"/>
                  <w:b w:val="false"/>
                  <w:color w:val="000080"/>
                  <w:sz w:val="20"/>
                  <w:u w:val="single"/>
                </w:rPr>
                <w:t>months ended J</w:t>
              </w:r>
            </w:hyperlink>
            <w:hyperlink w:anchor="i2e81585d558c40dfb6de5e9cd039788d_19">
              <w:r>
                <w:rPr>
                  <w:rStyle w:val="InternetLink"/>
                  <w:rFonts w:ascii="Times New Roman;serif" w:hAnsi="Times New Roman;serif"/>
                  <w:b w:val="false"/>
                  <w:color w:val="000080"/>
                  <w:sz w:val="20"/>
                  <w:u w:val="single"/>
                </w:rPr>
                <w:t>uly</w:t>
              </w:r>
            </w:hyperlink>
            <w:hyperlink w:anchor="i2e81585d558c40dfb6de5e9cd039788d_19">
              <w:r>
                <w:rPr>
                  <w:rStyle w:val="InternetLink"/>
                  <w:rFonts w:ascii="Times New Roman;serif" w:hAnsi="Times New Roman;serif"/>
                  <w:b w:val="false"/>
                  <w:color w:val="000080"/>
                  <w:sz w:val="20"/>
                  <w:u w:val="single"/>
                </w:rPr>
                <w:t xml:space="preserve"> 31, 2026 and 2025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81585d558c40dfb6de5e9cd039788d_19">
              <w:r>
                <w:rPr>
                  <w:rStyle w:val="InternetLink"/>
                  <w:rFonts w:ascii="Times New Roman;serif" w:hAnsi="Times New Roman;serif"/>
                  <w:b w:val="false"/>
                  <w:color w:val="0000FF"/>
                  <w:sz w:val="20"/>
                  <w:u w:val="single"/>
                </w:rPr>
                <w:t>5</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81585d558c40dfb6de5e9cd039788d_22">
              <w:r>
                <w:rPr>
                  <w:rStyle w:val="InternetLink"/>
                  <w:rFonts w:ascii="Times New Roman;serif" w:hAnsi="Times New Roman;serif"/>
                  <w:b w:val="false"/>
                  <w:color w:val="000080"/>
                  <w:sz w:val="20"/>
                  <w:u w:val="single"/>
                </w:rPr>
                <w:t>Condensed consolidated statements of shareholders' equity---</w:t>
              </w:r>
            </w:hyperlink>
            <w:hyperlink w:anchor="i2e81585d558c40dfb6de5e9cd039788d_22">
              <w:r>
                <w:rPr>
                  <w:rStyle w:val="InternetLink"/>
                  <w:rFonts w:ascii="Times New Roman;serif" w:hAnsi="Times New Roman;serif"/>
                  <w:b w:val="false"/>
                  <w:color w:val="000080"/>
                  <w:sz w:val="20"/>
                  <w:u w:val="single"/>
                </w:rPr>
                <w:t>three</w:t>
              </w:r>
            </w:hyperlink>
            <w:hyperlink w:anchor="i2e81585d558c40dfb6de5e9cd039788d_22">
              <w:r>
                <w:rPr>
                  <w:rStyle w:val="InternetLink"/>
                  <w:rFonts w:ascii="Times New Roman;serif" w:hAnsi="Times New Roman;serif"/>
                  <w:b w:val="false"/>
                  <w:color w:val="000080"/>
                  <w:sz w:val="20"/>
                  <w:u w:val="single"/>
                </w:rPr>
                <w:t xml:space="preserve"> months ended J</w:t>
              </w:r>
            </w:hyperlink>
            <w:hyperlink w:anchor="i2e81585d558c40dfb6de5e9cd039788d_22">
              <w:r>
                <w:rPr>
                  <w:rStyle w:val="InternetLink"/>
                  <w:rFonts w:ascii="Times New Roman;serif" w:hAnsi="Times New Roman;serif"/>
                  <w:b w:val="false"/>
                  <w:color w:val="000080"/>
                  <w:sz w:val="20"/>
                  <w:u w:val="single"/>
                </w:rPr>
                <w:t>uly</w:t>
              </w:r>
            </w:hyperlink>
            <w:hyperlink w:anchor="i2e81585d558c40dfb6de5e9cd039788d_22">
              <w:r>
                <w:rPr>
                  <w:rStyle w:val="InternetLink"/>
                  <w:rFonts w:ascii="Times New Roman;serif" w:hAnsi="Times New Roman;serif"/>
                  <w:b w:val="false"/>
                  <w:color w:val="000080"/>
                  <w:sz w:val="20"/>
                  <w:u w:val="single"/>
                </w:rPr>
                <w:t xml:space="preserve"> 31, 2026 and 2025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81585d558c40dfb6de5e9cd039788d_22">
              <w:r>
                <w:rPr>
                  <w:rStyle w:val="InternetLink"/>
                  <w:rFonts w:ascii="Times New Roman;serif" w:hAnsi="Times New Roman;serif"/>
                  <w:b w:val="false"/>
                  <w:color w:val="0000FF"/>
                  <w:sz w:val="20"/>
                  <w:u w:val="single"/>
                </w:rPr>
                <w:t>6</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81585d558c40dfb6de5e9cd039788d_25">
              <w:r>
                <w:rPr>
                  <w:rStyle w:val="InternetLink"/>
                  <w:rFonts w:ascii="Times New Roman;serif" w:hAnsi="Times New Roman;serif"/>
                  <w:b w:val="false"/>
                  <w:color w:val="0000FF"/>
                  <w:sz w:val="20"/>
                  <w:u w:val="single"/>
                </w:rPr>
                <w:t>Condensed consolidated statements of cash flows---three months ended July 31, 2026 and 2025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81585d558c40dfb6de5e9cd039788d_25">
              <w:r>
                <w:rPr>
                  <w:rStyle w:val="InternetLink"/>
                  <w:rFonts w:ascii="Times New Roman;serif" w:hAnsi="Times New Roman;serif"/>
                  <w:b w:val="false"/>
                  <w:color w:val="0000FF"/>
                  <w:sz w:val="20"/>
                  <w:u w:val="single"/>
                </w:rPr>
                <w:t>7</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81585d558c40dfb6de5e9cd039788d_28">
              <w:r>
                <w:rPr>
                  <w:rStyle w:val="InternetLink"/>
                  <w:rFonts w:ascii="Times New Roman;serif" w:hAnsi="Times New Roman;serif"/>
                  <w:b w:val="false"/>
                  <w:color w:val="0000FF"/>
                  <w:sz w:val="20"/>
                  <w:u w:val="single"/>
                </w:rPr>
                <w:t>Notes to unaudited condensed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81585d558c40dfb6de5e9cd039788d_28">
              <w:r>
                <w:rPr>
                  <w:rStyle w:val="InternetLink"/>
                  <w:rFonts w:ascii="Times New Roman;serif" w:hAnsi="Times New Roman;serif"/>
                  <w:b w:val="false"/>
                  <w:color w:val="0000FF"/>
                  <w:sz w:val="20"/>
                  <w:u w:val="single"/>
                </w:rPr>
                <w:t>9</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81585d558c40dfb6de5e9cd039788d_6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81585d558c40dfb6de5e9cd039788d_64">
              <w:r>
                <w:rPr>
                  <w:rStyle w:val="InternetLink"/>
                  <w:rFonts w:ascii="Times New Roman;serif" w:hAnsi="Times New Roman;serif"/>
                  <w:b w:val="false"/>
                  <w:color w:val="0000FF"/>
                  <w:sz w:val="20"/>
                  <w:u w:val="single"/>
                </w:rPr>
                <w:t>14</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81585d558c40dfb6de5e9cd039788d_85">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81585d558c40dfb6de5e9cd039788d_85">
              <w:r>
                <w:rPr>
                  <w:rStyle w:val="InternetLink"/>
                  <w:rFonts w:ascii="Times New Roman;serif" w:hAnsi="Times New Roman;serif"/>
                  <w:b w:val="false"/>
                  <w:color w:val="0000FF"/>
                  <w:sz w:val="20"/>
                  <w:u w:val="single"/>
                </w:rPr>
                <w:t>21</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81585d558c40dfb6de5e9cd039788d_88">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81585d558c40dfb6de5e9cd039788d_88">
              <w:r>
                <w:rPr>
                  <w:rStyle w:val="InternetLink"/>
                  <w:rFonts w:ascii="Times New Roman;serif" w:hAnsi="Times New Roman;serif"/>
                  <w:b w:val="false"/>
                  <w:color w:val="0000FF"/>
                  <w:sz w:val="20"/>
                  <w:u w:val="single"/>
                </w:rPr>
                <w:t>21</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89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e81585d558c40dfb6de5e9cd039788d_91">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81585d558c40dfb6de5e9cd039788d_94">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81585d558c40dfb6de5e9cd039788d_94">
              <w:r>
                <w:rPr>
                  <w:rStyle w:val="InternetLink"/>
                  <w:rFonts w:ascii="Times New Roman;serif" w:hAnsi="Times New Roman;serif"/>
                  <w:b w:val="false"/>
                  <w:color w:val="0000FF"/>
                  <w:sz w:val="20"/>
                  <w:u w:val="single"/>
                </w:rPr>
                <w:t>22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81585d558c40dfb6de5e9cd039788d_97">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81585d558c40dfb6de5e9cd039788d_97">
              <w:r>
                <w:rPr>
                  <w:rStyle w:val="InternetLink"/>
                  <w:rFonts w:ascii="Times New Roman;serif" w:hAnsi="Times New Roman;serif"/>
                  <w:b w:val="false"/>
                  <w:color w:val="0000FF"/>
                  <w:sz w:val="20"/>
                  <w:u w:val="single"/>
                </w:rPr>
                <w:t>22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81585d558c40dfb6de5e9cd039788d_100">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81585d558c40dfb6de5e9cd039788d_100">
              <w:r>
                <w:rPr>
                  <w:rStyle w:val="InternetLink"/>
                  <w:rFonts w:ascii="Times New Roman;serif" w:hAnsi="Times New Roman;serif"/>
                  <w:b w:val="false"/>
                  <w:color w:val="0000FF"/>
                  <w:sz w:val="20"/>
                  <w:u w:val="single"/>
                </w:rPr>
                <w:t>22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81585d558c40dfb6de5e9cd039788d_103">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81585d558c40dfb6de5e9cd039788d_103">
              <w:r>
                <w:rPr>
                  <w:rStyle w:val="InternetLink"/>
                  <w:rFonts w:ascii="Times New Roman;serif" w:hAnsi="Times New Roman;serif"/>
                  <w:b w:val="false"/>
                  <w:color w:val="0000FF"/>
                  <w:sz w:val="20"/>
                  <w:u w:val="single"/>
                </w:rPr>
                <w:t>23</w:t>
              </w:r>
            </w:hyperlink>
          </w:p>
        </w:tc>
      </w:tr>
      <w:tr>
        <w:trPr/>
        <w:tc>
          <w:tcPr>
            <w:tcW w:w="9691"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2e81585d558c40dfb6de5e9cd039788d_106">
              <w:r>
                <w:rPr>
                  <w:rStyle w:val="InternetLink"/>
                  <w:rFonts w:ascii="Times New Roman;serif" w:hAnsi="Times New Roman;serif"/>
                  <w:b w:val="false"/>
                  <w:color w:val="0000FF"/>
                  <w:sz w:val="20"/>
                  <w:u w:val="single"/>
                </w:rPr>
                <w:t>SIGNATURE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81585d558c40dfb6de5e9cd039788d_106">
              <w:r>
                <w:rPr>
                  <w:rStyle w:val="InternetLink"/>
                  <w:rFonts w:ascii="Times New Roman;serif" w:hAnsi="Times New Roman;serif"/>
                  <w:b w:val="false"/>
                  <w:color w:val="0000FF"/>
                  <w:sz w:val="20"/>
                  <w:u w:val="single"/>
                </w:rPr>
                <w:t>24</w:t>
              </w:r>
            </w:hyperlink>
          </w:p>
        </w:tc>
      </w:tr>
    </w:tbl>
    <w:p>
      <w:pPr>
        <w:pStyle w:val="TextBody"/>
        <w:bidi w:val="0"/>
        <w:spacing w:before="2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 </w:t>
      </w:r>
      <w:r>
        <w:rPr>
          <w:rFonts w:ascii="Times New Roman;serif" w:hAnsi="Times New Roman;serif"/>
          <w:b/>
          <w:color w:val="000000"/>
          <w:sz w:val="20"/>
          <w:u w:val="single"/>
        </w:rPr>
        <w:t>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CASEY’S GENERAL STORES,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49"/>
        <w:gridCol w:w="2294"/>
        <w:gridCol w:w="2281"/>
        <w:gridCol w:w="211"/>
        <w:gridCol w:w="991"/>
        <w:gridCol w:w="109"/>
        <w:gridCol w:w="109"/>
        <w:gridCol w:w="109"/>
        <w:gridCol w:w="109"/>
        <w:gridCol w:w="211"/>
        <w:gridCol w:w="976"/>
        <w:gridCol w:w="156"/>
      </w:tblGrid>
      <w:tr>
        <w:trPr/>
        <w:tc>
          <w:tcPr>
            <w:tcW w:w="2649"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30,</w:t>
              <w:br/>
              <w:t>2026</w:t>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524,059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245,837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557,968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60,997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1,388,861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1,364,012 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430,740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 of amortization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137,685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1,284,216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 of $3,546,531 at July 31, 2026 and $3,444,442 at April 30, 2026</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5,879,761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9,121,263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8,936,055 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98" w:type="dxa"/>
        <w:jc w:val="left"/>
        <w:tblInd w:w="0" w:type="dxa"/>
        <w:tblLayout w:type="fixed"/>
        <w:tblCellMar>
          <w:top w:w="28" w:type="dxa"/>
          <w:left w:w="28" w:type="dxa"/>
          <w:bottom w:w="28" w:type="dxa"/>
          <w:right w:w="28" w:type="dxa"/>
        </w:tblCellMar>
      </w:tblPr>
      <w:tblGrid>
        <w:gridCol w:w="2107"/>
        <w:gridCol w:w="1851"/>
        <w:gridCol w:w="1861"/>
        <w:gridCol w:w="211"/>
        <w:gridCol w:w="991"/>
        <w:gridCol w:w="109"/>
        <w:gridCol w:w="109"/>
        <w:gridCol w:w="109"/>
        <w:gridCol w:w="109"/>
        <w:gridCol w:w="211"/>
        <w:gridCol w:w="976"/>
        <w:gridCol w:w="154"/>
      </w:tblGrid>
      <w:tr>
        <w:trPr/>
        <w:tc>
          <w:tcPr>
            <w:tcW w:w="2107"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and finance lease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104,323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853,659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and current portion of operating lease liabilities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377,013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1,363,613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and finance lease obligations, net of current maturities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2,326,200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772,640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457,625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accruals, net of current portion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5,027,350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4,984,336 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no par value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4,093,913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4,093,913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3,951,719 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9,121,263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8,936,055 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i/>
          <w:color w:val="000000"/>
          <w:sz w:val="20"/>
        </w:rPr>
      </w:pPr>
      <w:r>
        <w:rPr>
          <w:rFonts w:ascii="Times New Roman;serif" w:hAnsi="Times New Roman;serif"/>
          <w:b w:val="false"/>
          <w:i/>
          <w:color w:val="000000"/>
          <w:sz w:val="20"/>
        </w:rPr>
        <w:t>See notes to unaudited condensed consolidated financial statements.</w:t>
      </w:r>
    </w:p>
    <w:p>
      <w:pPr>
        <w:pStyle w:val="TextBody"/>
        <w:bidi w:val="0"/>
        <w:spacing w:before="0" w:after="0"/>
        <w:jc w:val="left"/>
        <w:rPr/>
      </w:pPr>
      <w:r>
        <w:rPr/>
      </w:r>
    </w:p>
    <w:p>
      <w:pPr>
        <w:pStyle w:val="TextBody"/>
        <w:bidi w:val="0"/>
        <w:spacing w:before="240" w:after="283"/>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CASEY’S GENERAL STORES,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 AND PER SHARE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459"/>
        <w:gridCol w:w="2161"/>
        <w:gridCol w:w="2169"/>
        <w:gridCol w:w="211"/>
        <w:gridCol w:w="991"/>
        <w:gridCol w:w="109"/>
        <w:gridCol w:w="109"/>
        <w:gridCol w:w="109"/>
        <w:gridCol w:w="109"/>
        <w:gridCol w:w="211"/>
        <w:gridCol w:w="976"/>
        <w:gridCol w:w="109"/>
        <w:gridCol w:w="109"/>
        <w:gridCol w:w="109"/>
        <w:gridCol w:w="109"/>
        <w:gridCol w:w="155"/>
      </w:tblGrid>
      <w:tr>
        <w:trPr/>
        <w:tc>
          <w:tcPr>
            <w:tcW w:w="245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5,678,336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depreciation and amortization, shown separately below)</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4,439,142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754,111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347,030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73,310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273,720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7.37</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36,965,113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37,148,383 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dilutive effect of share-based compensation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177,144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12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37,142,257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37,352,080 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Times New Roman;serif" w:hAnsi="Times New Roman;serif"/>
          <w:b w:val="false"/>
          <w:i/>
          <w:color w:val="000000"/>
          <w:sz w:val="20"/>
        </w:rPr>
      </w:pPr>
      <w:r>
        <w:rPr>
          <w:rFonts w:ascii="Times New Roman;serif" w:hAnsi="Times New Roman;serif"/>
          <w:b w:val="false"/>
          <w:i/>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CASEY’S GENERAL STORES,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 AND PER SHARE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12"/>
        <w:gridCol w:w="902"/>
        <w:gridCol w:w="906"/>
        <w:gridCol w:w="559"/>
        <w:gridCol w:w="549"/>
        <w:gridCol w:w="483"/>
        <w:gridCol w:w="109"/>
        <w:gridCol w:w="109"/>
        <w:gridCol w:w="109"/>
        <w:gridCol w:w="262"/>
        <w:gridCol w:w="508"/>
        <w:gridCol w:w="130"/>
        <w:gridCol w:w="109"/>
        <w:gridCol w:w="109"/>
        <w:gridCol w:w="109"/>
        <w:gridCol w:w="211"/>
        <w:gridCol w:w="991"/>
        <w:gridCol w:w="109"/>
        <w:gridCol w:w="109"/>
        <w:gridCol w:w="109"/>
        <w:gridCol w:w="109"/>
        <w:gridCol w:w="255"/>
        <w:gridCol w:w="1202"/>
        <w:gridCol w:w="132"/>
        <w:gridCol w:w="109"/>
        <w:gridCol w:w="109"/>
        <w:gridCol w:w="109"/>
        <w:gridCol w:w="109"/>
        <w:gridCol w:w="109"/>
        <w:gridCol w:w="109"/>
        <w:gridCol w:w="159"/>
      </w:tblGrid>
      <w:tr>
        <w:trPr/>
        <w:tc>
          <w:tcPr>
            <w:tcW w:w="121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April 30, 2026</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36,904,285</w:t>
            </w:r>
            <w:r>
              <w:rPr>
                <w:color w:val="000000"/>
              </w:rPr>
              <w:t>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3,951,719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3,951,719</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273,720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273,720</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(65 cents per share)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(24,252)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(54,647)</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(45,642)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220,996</w:t>
            </w: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16,930</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16,930</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on employee share-based awards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(91,213)</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(16,930)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(78,562)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July 31, 2026</w:t>
            </w:r>
          </w:p>
        </w:tc>
        <w:tc>
          <w:tcPr>
            <w:tcW w:w="11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36,979,421</w:t>
            </w:r>
            <w:r>
              <w:rPr>
                <w:color w:val="000000"/>
              </w:rPr>
              <w:t> </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4,093,913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4,093,913</w:t>
            </w: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58"/>
        <w:gridCol w:w="966"/>
        <w:gridCol w:w="969"/>
        <w:gridCol w:w="559"/>
        <w:gridCol w:w="545"/>
        <w:gridCol w:w="494"/>
        <w:gridCol w:w="109"/>
        <w:gridCol w:w="109"/>
        <w:gridCol w:w="109"/>
        <w:gridCol w:w="211"/>
        <w:gridCol w:w="721"/>
        <w:gridCol w:w="109"/>
        <w:gridCol w:w="109"/>
        <w:gridCol w:w="109"/>
        <w:gridCol w:w="109"/>
        <w:gridCol w:w="211"/>
        <w:gridCol w:w="976"/>
        <w:gridCol w:w="109"/>
        <w:gridCol w:w="109"/>
        <w:gridCol w:w="109"/>
        <w:gridCol w:w="109"/>
        <w:gridCol w:w="262"/>
        <w:gridCol w:w="1215"/>
        <w:gridCol w:w="135"/>
        <w:gridCol w:w="109"/>
        <w:gridCol w:w="109"/>
        <w:gridCol w:w="109"/>
        <w:gridCol w:w="157"/>
      </w:tblGrid>
      <w:tr>
        <w:trPr/>
        <w:tc>
          <w:tcPr>
            <w:tcW w:w="12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April 30, 2025</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37,119,083 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3,508,670 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(57 cents per share)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(69,687)</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223,589 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on employee share-based awards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(92,000)</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July 31, 2025</w:t>
            </w:r>
          </w:p>
        </w:tc>
        <w:tc>
          <w:tcPr>
            <w:tcW w:w="11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37,180,985 </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3,640,678 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pStyle w:val="TextBody"/>
        <w:bidi w:val="0"/>
        <w:spacing w:lineRule="auto" w:line="288" w:before="40" w:after="283"/>
        <w:jc w:val="left"/>
        <w:rPr>
          <w:rFonts w:ascii="Times New Roman;serif" w:hAnsi="Times New Roman;serif"/>
          <w:b w:val="false"/>
          <w:i/>
          <w:color w:val="000000"/>
          <w:sz w:val="20"/>
        </w:rPr>
      </w:pPr>
      <w:r>
        <w:rPr>
          <w:rFonts w:ascii="Times New Roman;serif" w:hAnsi="Times New Roman;serif"/>
          <w:b w:val="false"/>
          <w:i/>
          <w:color w:val="000000"/>
          <w:sz w:val="20"/>
        </w:rPr>
        <w:t>See 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CASEY’S GENERAL STORES,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p>
      <w:pPr>
        <w:pStyle w:val="TextBody"/>
        <w:bidi w:val="0"/>
        <w:spacing w:lineRule="auto" w:line="288" w:before="0" w:after="0"/>
        <w:jc w:val="left"/>
        <w:rPr>
          <w:color w:val="000000"/>
        </w:rPr>
      </w:pPr>
      <w:r>
        <w:rPr>
          <w:color w:val="000000"/>
        </w:rPr>
        <w:t> </w:t>
      </w:r>
    </w:p>
    <w:tbl>
      <w:tblPr>
        <w:tblW w:w="9398" w:type="dxa"/>
        <w:jc w:val="left"/>
        <w:tblInd w:w="0" w:type="dxa"/>
        <w:tblLayout w:type="fixed"/>
        <w:tblCellMar>
          <w:top w:w="28" w:type="dxa"/>
          <w:left w:w="28" w:type="dxa"/>
          <w:bottom w:w="28" w:type="dxa"/>
          <w:right w:w="28" w:type="dxa"/>
        </w:tblCellMar>
      </w:tblPr>
      <w:tblGrid>
        <w:gridCol w:w="2431"/>
        <w:gridCol w:w="2141"/>
        <w:gridCol w:w="2147"/>
        <w:gridCol w:w="211"/>
        <w:gridCol w:w="841"/>
        <w:gridCol w:w="109"/>
        <w:gridCol w:w="109"/>
        <w:gridCol w:w="109"/>
        <w:gridCol w:w="109"/>
        <w:gridCol w:w="211"/>
        <w:gridCol w:w="82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July 31,</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273,720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excess replacement cost over LIFO inventory valuation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and impairment charges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384,072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acquisition of businesses, net of cash acquired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(234,721)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 and finance lease obligations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cash dividends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and payment of related excise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on employee share-based awards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(148,283)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(138,964)</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04" w:type="dxa"/>
        <w:jc w:val="left"/>
        <w:tblInd w:w="0" w:type="dxa"/>
        <w:tblLayout w:type="fixed"/>
        <w:tblCellMar>
          <w:top w:w="28" w:type="dxa"/>
          <w:left w:w="28" w:type="dxa"/>
          <w:bottom w:w="28" w:type="dxa"/>
          <w:right w:w="28" w:type="dxa"/>
        </w:tblCellMar>
      </w:tblPr>
      <w:tblGrid>
        <w:gridCol w:w="1603"/>
        <w:gridCol w:w="1407"/>
        <w:gridCol w:w="1415"/>
        <w:gridCol w:w="211"/>
        <w:gridCol w:w="841"/>
        <w:gridCol w:w="109"/>
        <w:gridCol w:w="109"/>
        <w:gridCol w:w="109"/>
        <w:gridCol w:w="109"/>
        <w:gridCol w:w="211"/>
        <w:gridCol w:w="826"/>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the period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522,991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524,059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CASEY’S GENERAL STORES,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(Continued)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FLOWS INFORMATION</w:t>
      </w:r>
    </w:p>
    <w:tbl>
      <w:tblPr>
        <w:tblW w:w="9083" w:type="dxa"/>
        <w:jc w:val="left"/>
        <w:tblInd w:w="0" w:type="dxa"/>
        <w:tblLayout w:type="fixed"/>
        <w:tblCellMar>
          <w:top w:w="28" w:type="dxa"/>
          <w:left w:w="28" w:type="dxa"/>
          <w:bottom w:w="28" w:type="dxa"/>
          <w:right w:w="28" w:type="dxa"/>
        </w:tblCellMar>
      </w:tblPr>
      <w:tblGrid>
        <w:gridCol w:w="2393"/>
        <w:gridCol w:w="2099"/>
        <w:gridCol w:w="2122"/>
        <w:gridCol w:w="211"/>
        <w:gridCol w:w="736"/>
        <w:gridCol w:w="109"/>
        <w:gridCol w:w="109"/>
        <w:gridCol w:w="109"/>
        <w:gridCol w:w="109"/>
        <w:gridCol w:w="211"/>
        <w:gridCol w:w="721"/>
        <w:gridCol w:w="154"/>
      </w:tblGrid>
      <w:tr>
        <w:trPr/>
        <w:tc>
          <w:tcPr>
            <w:tcW w:w="2393"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July 31,</w:t>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 of amount capitalized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Purchased property and equipment in accounts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114,088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Right-of-use assets obtained in exchange for new finance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Right-of-use assets obtained in exchange for new 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Times New Roman;serif" w:hAnsi="Times New Roman;serif"/>
          <w:b w:val="false"/>
          <w:i/>
          <w:color w:val="000000"/>
          <w:sz w:val="20"/>
        </w:rPr>
      </w:pPr>
      <w:r>
        <w:rPr>
          <w:rFonts w:ascii="Times New Roman;serif" w:hAnsi="Times New Roman;serif"/>
          <w:b w:val="false"/>
          <w:i/>
          <w:color w:val="000000"/>
          <w:sz w:val="20"/>
        </w:rPr>
        <w:t>See 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CASEY’S GENERAL STORES,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 Except Per Share Amounts)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i/>
          <w:color w:val="000000"/>
          <w:sz w:val="20"/>
        </w:rPr>
      </w:pPr>
      <w:r>
        <w:rPr>
          <w:rFonts w:ascii="Times New Roman;serif" w:hAnsi="Times New Roman;serif"/>
          <w:b w:val="false"/>
          <w:i/>
          <w:color w:val="000000"/>
          <w:sz w:val="20"/>
        </w:rPr>
        <w:t>1.    Presentation of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2026, Casey’s General Stores, Inc. and its subsidiaries (hereinafter referred to as the "Company" or "Casey’s") operate 2,959 convenience stores in 19 states, primarily in the Midwest. Many of the stores are located in smaller communities, often with populations of less than 20,000.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the accounts and transactions of Casey's General Stores, Inc. and its direct and indirect wholly-owned subsidiaries. All material intercompany balances and transactions have been eliminated in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i/>
          <w:color w:val="000000"/>
          <w:sz w:val="20"/>
        </w:rPr>
      </w:pPr>
      <w:r>
        <w:rPr>
          <w:rFonts w:ascii="Times New Roman;serif" w:hAnsi="Times New Roman;serif"/>
          <w:b w:val="false"/>
          <w:i/>
          <w:color w:val="000000"/>
          <w:sz w:val="20"/>
        </w:rPr>
        <w:t>2.    Basis of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have been prepared by the Company pursuant to the rules and regulations of the Securities and Exchange Commission. Certain information and footnote disclosures normally included in financial statements prepared in accordance with U.S. generally accepted accounting principles (GAAP) have been condensed or omitted pursuant to such rules and regulations.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condensed consolidated financial statements contain all adjustments necessary to present fairly the financial position as of July 31, 2026 and April 30, 2026, the results of operations for the three months ended July 31, 2026 and 2025, and shareholders' equity and cash flows for the three months ended July 31, 2026 and 2025. Although management believes that the disclosures are adequate to make the information presented not misleading, it is suggested that these interim condensed consolidated financial statements be read in conjunction with the Company’s most recent audited financial statements and notes thereto. Additionally, see the most recent audited financial statements for our consideration of new accounting pronouncements issued prior to this fiscal year.</w:t>
      </w:r>
    </w:p>
    <w:p>
      <w:pPr>
        <w:pStyle w:val="TextBody"/>
        <w:bidi w:val="0"/>
        <w:spacing w:lineRule="auto" w:line="288" w:before="120" w:after="283"/>
        <w:jc w:val="left"/>
        <w:rPr/>
      </w:pPr>
      <w:r>
        <w:rPr>
          <w:rFonts w:ascii="Times New Roman;serif" w:hAnsi="Times New Roman;serif"/>
          <w:b w:val="false"/>
          <w:color w:val="000000"/>
          <w:sz w:val="20"/>
        </w:rPr>
        <w:t>During the quarter, the Company elected to early adopt ASU 2026</w:t>
        <w:noBreakHyphen/>
        <w:t xml:space="preserve">02, Environmental Credits and Environmental Credit Obligations (Topic 818). The standard establishes guidance for the recognition, measurement, presentation, and disclosure of environmental credits and environmental credit obligations. The new standard impacts the Company's accounting for renewable identification numbers ("RINs"). The Company adopted the guidance on a retrospective basis effective May 1, 2026. The effect of applying the guidance to prior-period financial statements was not material and no cumulative-effect adjustment to the opening balance of retained earnings was required. Refer to Note </w:t>
      </w:r>
      <w:hyperlink w:anchor="i2e81585d558c40dfb6de5e9cd039788d_37">
        <w:r>
          <w:rPr>
            <w:rStyle w:val="InternetLink"/>
            <w:rFonts w:ascii="Times New Roman;serif" w:hAnsi="Times New Roman;serif"/>
            <w:b w:val="false"/>
            <w:color w:val="0000FF"/>
            <w:sz w:val="20"/>
            <w:u w:val="single"/>
          </w:rPr>
          <w:t>3</w:t>
        </w:r>
      </w:hyperlink>
      <w:r>
        <w:rPr>
          <w:color w:val="000000"/>
        </w:rPr>
        <w:t xml:space="preserve"> </w:t>
      </w:r>
      <w:r>
        <w:rPr>
          <w:rFonts w:ascii="Times New Roman;serif" w:hAnsi="Times New Roman;serif"/>
          <w:b w:val="false"/>
          <w:color w:val="000000"/>
          <w:sz w:val="20"/>
        </w:rPr>
        <w:t>for the required disclosures and details of the new accounting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i/>
          <w:color w:val="000000"/>
          <w:sz w:val="20"/>
        </w:rPr>
      </w:pPr>
      <w:r>
        <w:rPr>
          <w:rFonts w:ascii="Times New Roman;serif" w:hAnsi="Times New Roman;serif"/>
          <w:b w:val="false"/>
          <w:i/>
          <w:color w:val="000000"/>
          <w:sz w:val="20"/>
        </w:rPr>
        <w:t>3.    Revenue and Cost of Goods Sold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recognizes retail sales of prepared food and dispensed beverage, grocery and general merchandise, fuel and other revenue at the time of the sale to the guest. Sales taxes collected from guests and remitted to the government are recorded on a net basis in the condensed consolidated statements of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portion of revenue from sales that include points under our Casey’s Rewards program is deferred. The deferred portion of the sale represents the value of the estimated future redemption of the points. The amounts related to points are deferred until their redemption or expiration. Revenue related to the points issued is expected to be recognized less than one year from the original sale to the guest. As of July 31, 2026 and April 30, 2026, the Company recognized a contract liability of $74,734 and $72,695, respectively, primarily related to the Casey's Rewards program, which is included in accrued expenses and current portion of operating lease liabilities on the condensed consolidated balance sheets.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often receives vendor allowances on the basis of quantitative contract terms that vary by product and vendor or directly on the basis of purchases made. Vendor allowances include rebates and other funds received from vendors to promote their products. These amounts are recognized in the period earned based on the applicable rebate agreement. Reimbursements of an operating expense (e.g., advertising) are recorded as reductions of the related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RINs are assigned to gallons of renewable fuels produced and are used to track compliance with the U.S. Renewable Fuel Standard ("RFS"). At times, we purchase fuel components (ethanol, gasoline, biodiesel or diesel) and blend those components into a finished product. This process enables the Company to detach the RIN assigned to each gallon of ethanol or biodiesel and sell it in a transaction separate from the eventual sale of the related biofuel. Since we are not an obligated party under the RFS, the Company sells all RINs through exchange transactions. As a result, the Company has recognized the RINs as noncompliance environmental credits. The Company has elected to utilize the accounting policy election to measure these noncompliance environmental credits at fair value as of the reporting date. The fair value of RINs recognized are based upon quoted market prices for RINs in active markets, which are considered Level 1 inputs within the fair value hierarchy, and are recorded on the condensed consolidated balance sheets within prepaid and other current assets. As of July 31, 2026 and April 30, 2026, outstanding balances were immaterial to the financial statements. When RINs are sold or adjusted to fair value, the gains or losses recognized are recognized through cost of goods sold within the condensed consolidated statements of income. The Company did not recognize any impairment losses on these assets for the three months ended July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i/>
          <w:color w:val="000000"/>
          <w:sz w:val="20"/>
        </w:rPr>
      </w:pPr>
      <w:r>
        <w:rPr>
          <w:rFonts w:ascii="Times New Roman;serif" w:hAnsi="Times New Roman;serif"/>
          <w:b w:val="false"/>
          <w:i/>
          <w:color w:val="000000"/>
          <w:sz w:val="20"/>
        </w:rPr>
        <w:t>4.    Long-Term Debt and Finance Lease Obligations, Lines of Credit and Fair Value Disclosure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long-term debt (including current maturities) is estimated based on the current rates offered to the Company for debt of the same or similar issuances which are considered Level 2 inputs within the fair value hierarchy. The fair value of the Company’s long-term debt was approximately $2,219,000 and $2,226,000 at July 31, 2026 and April 30, 2026, respectively. The fair value calculated excludes finance lease obligations of $113,808 and $115,197 outstanding at July 31, 2026 and April 30, 2026, respectively, which are included with long-term debt on the condensed consolidated balance sheets.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net on the condensed consolidated statements of income is net of interest income of $3,548 for the three months ended July 31, 2026, and $2,977 for the three months ended July 31, 2025. Interest, net is also net of interest capitalized of $1,091 for the three months ended July 31, 2026, and $495 for the three months ended July 31, 2025.</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Revolving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a credit agreement that provides for an $850,000 unsecured revolving credit facility (“Revolving Facility”), which matures on April 21, 2028. Amounts borrowed under the Revolving Facility, bear interest at variable rates based upon, at the Company’s option, either: (a) either Term SOFR or Daily Simple SOFR, in each case plus 0.10% (with a floor of 0.00%) for the interest period in effect, plus an applicable margin ranging from 1.10% to 1.70% or (b) an alternate base rate, which generally equals the highest of (i) the prime commercial lending rate announced by the Administrative Agent as its “prime rate”, (ii) the federal funds rate plus 1/2 of 1.00%, and (iii) Adjusted Daily Simple SOFR plus 1.00%, each plus an applicable margin ranging from 0.10% to 0.70% and each with a floor of 1.00%. The applicable margins and facility fee, in each case, are dependent upon the Company’s quarterly Consolidated Leverage Ratio, as defined in the credit agreement. The Company had $42,625 and $0 outstanding under the Revolving Facility at July 31, 2026 and April 30, 2026, respectively, which is included with long-term debt on the condensed consolidated balance sheets.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Bank Line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an additional unsecured bank line of credit (the "Bank Line") with availability of up to $50,000. The Bank Line bears interest at a variable rate subject to change from time to time based on changes in an independent index referred to in the Bank Line as the Federal Funds Offered Rate. There was $0 outstanding under the Bank Line at July 31, 2026 and April 30, 2026. The Bank Line is due upon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i/>
          <w:color w:val="000000"/>
          <w:sz w:val="20"/>
        </w:rPr>
      </w:pPr>
      <w:r>
        <w:rPr>
          <w:rFonts w:ascii="Times New Roman;serif" w:hAnsi="Times New Roman;serif"/>
          <w:b w:val="false"/>
          <w:i/>
          <w:color w:val="000000"/>
          <w:sz w:val="20"/>
        </w:rPr>
        <w:t>5.    Compensation Related Costs and Share-Based Payments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2025 Stock Incentive Plan (the “2025 Plan”) was approved by the Company’s shareholders on September 3, 2025, at the Company’s annual shareholders meeting (the “2025 Plan Effective Date”). There were 1,650,000 shares available for issuance under the 2025 Plan as of the 2025 Plan Effective Date. The 2025 Plan replaces the 2018 Stock Incentive Plan (the "2018 Plan"), under which no new awards were allowed to be granted as of the 2025 Plan Effective Date. Outstanding awards under the 2018 Plan continue to be governed by the terms thereof and the award agreements made pursuant thereto, including any such terms that are intended to survive the termination of the 2018 Plan or the settlement of such awards. Shares subject to awards under the 2018 Plan that expire, are forfeited, cancelled, or settled in cash will be added back to the shares available for issuance under the 2025 Plan. Awards under the 2025 Plan may take the form of stock options, stock appreciation rights, restricted stock, restricted stock units and other equity-based and equity-related awards, each of which, upon issuance, is counted as one share against the 2025 Plan share reserve. At July 31, 2026, there were 1,593,826 shares that remain available for grant under the 2025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account for share-based compensation by estimating the grant date fair value of time-based and performance-based restricted stock unit awards using the closing price of our common stock on the applicable grant date, or the date on which performance goals for performance-based units are established, if after the grant date. Forfeitures are recognized as they occur.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time-based awards most commonly vest ratably over a three-year period commencing on the first anniversary of the grant date. Certain awards include performance and market conditions. Performance-based awards are primarily based on either the achievement of a three-year average return on invested capital (ROIC) or three-year cumulative earnings before interest, income taxes, and depreciation and amortization (EBITDA). For these awards, share-based compensation expense is estimated based on the probable outcome of shares to be awarded adjusted as necessary at each reporting period. Additionally, if the Company's relative total shareholder return over the performance period is in the bottom or top quartile of the companies comprising the S&amp;P 500, the performance-based shares included will be adjusted downward by 25%, or upward by 25%, respectively (the "TSR Modifier"). The fair value of awards with the TSR Modifier is determined using a Monte Carlo simulation as of the date of the grant. For the market-based portion of these awards, the share-based compensation expense will not be adjusted should the target awards vary from actual awards.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these amounts as an operating expense in our condensed consolidated statements of income ratably over the requisite service period using the straight-line method, as adjusted for certain retirement provisions, and updated estimates of shares to be issued under performance-based awards. All awards have been granted at no cost to the grantee.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Information concerning the unvested restricted stock units is presented in the following table. At July 31, 2026, there were no stock options, stock appreciation rights or other equity-based awards outstanding.</w:t>
      </w:r>
    </w:p>
    <w:tbl>
      <w:tblPr>
        <w:tblW w:w="5699" w:type="dxa"/>
        <w:jc w:val="left"/>
        <w:tblInd w:w="0" w:type="dxa"/>
        <w:tblLayout w:type="fixed"/>
        <w:tblCellMar>
          <w:top w:w="28" w:type="dxa"/>
          <w:left w:w="28" w:type="dxa"/>
          <w:bottom w:w="28" w:type="dxa"/>
          <w:right w:w="28" w:type="dxa"/>
        </w:tblCellMar>
      </w:tblPr>
      <w:tblGrid>
        <w:gridCol w:w="1000"/>
        <w:gridCol w:w="878"/>
        <w:gridCol w:w="882"/>
        <w:gridCol w:w="449"/>
        <w:gridCol w:w="451"/>
        <w:gridCol w:w="196"/>
        <w:gridCol w:w="109"/>
        <w:gridCol w:w="109"/>
        <w:gridCol w:w="109"/>
        <w:gridCol w:w="384"/>
        <w:gridCol w:w="850"/>
        <w:gridCol w:w="282"/>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w:t>
              <w:br/>
              <w:t>Value per Share</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April 30, 2026</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474,383 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(220,996)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Award Adjustments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July 31, 2026</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313,789 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share-based compensation costs recorded for employees and non-employee directors for the three months ended July 31, 2026 and 2025 were $16,930 and $15,221, respectively, related entirely to restricted stock unit awards. As of July 31, 2026, there was $86,554 of unrecognized compensation costs related to restricted stock units which are expected to be recognized through fiscal 2030, with a weighted average remaining term of 1.5 years. The fair value of restricted stock unit awards vested during the three months ended July 31, 2026 was $189,707 as of the applicable vest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i/>
          <w:color w:val="000000"/>
          <w:sz w:val="20"/>
        </w:rPr>
      </w:pPr>
      <w:r>
        <w:rPr>
          <w:rFonts w:ascii="Times New Roman;serif" w:hAnsi="Times New Roman;serif"/>
          <w:b w:val="false"/>
          <w:i/>
          <w:color w:val="000000"/>
          <w:sz w:val="20"/>
        </w:rPr>
        <w:t>6.    Commitments and Contingencies</w:t>
      </w:r>
    </w:p>
    <w:p>
      <w:pPr>
        <w:pStyle w:val="TextBody"/>
        <w:bidi w:val="0"/>
        <w:spacing w:lineRule="auto" w:line="288" w:before="120" w:after="283"/>
        <w:jc w:val="left"/>
        <w:rPr/>
      </w:pPr>
      <w:r>
        <w:rPr>
          <w:rFonts w:ascii="Times New Roman;serif" w:hAnsi="Times New Roman;serif"/>
          <w:b w:val="false"/>
          <w:color w:val="000000"/>
          <w:sz w:val="20"/>
          <w:shd w:fill="FFFFFF" w:val="clear"/>
        </w:rPr>
        <w:t>From time to time we may be involved in legal or administrative proceedings or investigations arising from the conduct of our business operations, including, but not limited to, contractual or other general business disputes; employment, personnel, or accessibility matters; personal injury and property damage claims; claims by federal, state, and local regulatory authorities relat</w:t>
      </w:r>
      <w:r>
        <w:rPr>
          <w:rFonts w:ascii="Times New Roman;serif" w:hAnsi="Times New Roman;serif"/>
          <w:b w:val="false"/>
          <w:color w:val="000000"/>
          <w:sz w:val="20"/>
        </w:rPr>
        <w:t xml:space="preserve">ing to the sale of products pursuant to licenses and permits issued by those authorities; and, other claims or proceedings. Claims for damages in those actions may be substantial. While the outcome of such litigation, proceedings, investigations, or claims is never certain, it is our opinion, after taking into consideration legal counsel’s assessment and the availability of insurance proceeds and other collateral sources to cover potential losses, that the ultimate disposition of such matters currently pending or threatened, individually or cumulatively, will not have a material adverse effect on our consolidated financial position and results of operations.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named as a defendant in two lawsuits alleging that it misclassified its Store Managers as exempt employees under the Fair Labor Standards Act (FLSA) - White (f/k/a McColley) v. Casey’s General Stores, Inc. in the United States District Court for the Northern District of Indiana and Kessler v. Casey’s Marketing Company, et al. in the Southern District of Illinois. During the prior year, the parties agreed to a settlement of all claims in both matters for an amount that is not material to the Company's condensed consolidated financial statements. The settlement(s) were approved by the applicable court during the quarter, and the parties, with the assistance of a third-party settlement administrator, are in the process of distributing settlement funds. The Company continues to maintain that its Store Managers are properly classified as exempt employees under the FLSA and does not admit any wrongdoing as a result of the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lineRule="auto" w:line="288" w:before="0" w:after="0"/>
        <w:ind w:left="0" w:right="0" w:hanging="540"/>
        <w:jc w:val="left"/>
        <w:rPr>
          <w:rFonts w:ascii="Times New Roman;serif" w:hAnsi="Times New Roman;serif"/>
          <w:b w:val="false"/>
          <w:i/>
          <w:color w:val="000000"/>
          <w:sz w:val="20"/>
        </w:rPr>
      </w:pPr>
      <w:r>
        <w:rPr>
          <w:rFonts w:ascii="Times New Roman;serif" w:hAnsi="Times New Roman;serif"/>
          <w:b w:val="false"/>
          <w:i/>
          <w:color w:val="000000"/>
          <w:sz w:val="20"/>
        </w:rPr>
        <w:t>7.    Unrecognized Tax Benefits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total amount of gross unrecognized tax benefits was $10,955 and $10,071 at July 31, 2026 and April 30, 2026, respectively. If this unrecognized tax benefit were ultimately recognized, $8,655 is the amount that would impact our effective tax rate. The total net amount of accrued interest and penalties for such unrecognized tax benefits was $235 at July 31, 2026, and $195 at April 30, 2026. Net interest and penalties included in income tax expense for the three months ended July 31, 2026 and 2025 was a net expense of $40 and $51, respectively. </w:t>
      </w:r>
    </w:p>
    <w:p>
      <w:pPr>
        <w:pStyle w:val="TextBody"/>
        <w:bidi w:val="0"/>
        <w:spacing w:lineRule="auto" w:line="288" w:before="120" w:after="283"/>
        <w:jc w:val="left"/>
        <w:rPr/>
      </w:pPr>
      <w:r>
        <w:rPr>
          <w:rFonts w:ascii="Times New Roman;serif" w:hAnsi="Times New Roman;serif"/>
          <w:b w:val="false"/>
          <w:color w:val="000000"/>
          <w:sz w:val="20"/>
        </w:rPr>
        <w:t>The State of Illinois is currently examining tax years 2020 and 2021. The Company has no other ongoing federal or state income tax examinations. The federal statute of limitations remains open for the tax years 2022 and forward. Tax years 2020 and forward are subject to audit by state tax authorities depending on open statute of limitations waivers and the tax code of each state</w:t>
      </w:r>
      <w:r>
        <w:rPr>
          <w:rFonts w:ascii="sans-serif" w:hAnsi="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i/>
          <w:color w:val="000000"/>
          <w:sz w:val="20"/>
        </w:rPr>
      </w:pPr>
      <w:r>
        <w:rPr>
          <w:rFonts w:ascii="Times New Roman;serif" w:hAnsi="Times New Roman;serif"/>
          <w:b w:val="false"/>
          <w:i/>
          <w:color w:val="000000"/>
          <w:sz w:val="20"/>
        </w:rPr>
        <w:t>8.    Segment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July 31, 2026, we operated 2,959 stores in 19 states. Our convenience stores offer a broad selection of merchandise, fuel and other products and services designed to appeal to the convenience needs of our guests. We manage the business on the basis of one operating segment and therefore, have only one reportable segment. Our stores sell similar products and services, use similar processes to sell those products and services, and sell their products and services to similar classes of guests. We make specific disclosures concerning the three broad categories of prepared food and dispensed beverage, grocery and general merchandise, and fuel because it allows us to more effectively discuss trends and operational initiatives within our business and industry. Although we can separate revenues and cost of goods sold within these categories (and further sub-categories), the operating expenses associated with operating a store that sells these products are not separable by these three categories.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Casey’s chief operating decision maker (“CODM”) is the President and Chief Executive Officer. The CODM assesses performance for the segment and decides how to allocate resources and capital based on profitability metrics, such as net income, that is reported on the condensed consolidated statements of income. The CODM considers actual-to-forecast variances on a monthly, quarterly and annual basis for this profit measure when making decisions about resource allocation and assessing company performance. Total asset information by segment is not regularly provided to our CODM or utilized for purposes of assessing performance or allocating resources and, as a result, such information has not been presented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on revenue, significant expenses, and net income related to the single reportable segment:</w:t>
      </w:r>
    </w:p>
    <w:tbl>
      <w:tblPr>
        <w:tblW w:w="10205" w:type="dxa"/>
        <w:jc w:val="left"/>
        <w:tblInd w:w="0" w:type="dxa"/>
        <w:tblLayout w:type="fixed"/>
        <w:tblCellMar>
          <w:top w:w="28" w:type="dxa"/>
          <w:left w:w="28" w:type="dxa"/>
          <w:bottom w:w="28" w:type="dxa"/>
          <w:right w:w="28" w:type="dxa"/>
        </w:tblCellMar>
      </w:tblPr>
      <w:tblGrid>
        <w:gridCol w:w="2492"/>
        <w:gridCol w:w="2146"/>
        <w:gridCol w:w="2151"/>
        <w:gridCol w:w="211"/>
        <w:gridCol w:w="991"/>
        <w:gridCol w:w="109"/>
        <w:gridCol w:w="109"/>
        <w:gridCol w:w="109"/>
        <w:gridCol w:w="109"/>
        <w:gridCol w:w="211"/>
        <w:gridCol w:w="976"/>
        <w:gridCol w:w="109"/>
        <w:gridCol w:w="109"/>
        <w:gridCol w:w="109"/>
        <w:gridCol w:w="109"/>
        <w:gridCol w:w="155"/>
      </w:tblGrid>
      <w:tr>
        <w:trPr/>
        <w:tc>
          <w:tcPr>
            <w:tcW w:w="2492"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5,678,336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depreciation and amortization, shown separately below)</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Prepared food &amp; dispensed beverage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200,609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Grocery &amp; general merchandise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827,123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3,277,869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(1)</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133,541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goods sold (excluding depreciation and amortization, shown separately below)</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4,439,142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 employee expense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311,935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 other expense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169,140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 credit card fees expense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81,992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same-store operating expense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(2)</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161,970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754,111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347,030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73,310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273,720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(1)Other included in total cost of goods sold (excluding depreciation and amortization) primarily includes activity related to wholesale fuel.</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(2)Other included in operating expenses includes expenses for information technology, operations, merchandising, finance, human resources, legal, acquisitions, field operations and service excellence.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tbl>
      <w:tblPr>
        <w:tblW w:w="10205" w:type="dxa"/>
        <w:jc w:val="left"/>
        <w:tblInd w:w="0" w:type="dxa"/>
        <w:tblLayout w:type="fixed"/>
        <w:tblCellMar>
          <w:top w:w="28" w:type="dxa"/>
          <w:left w:w="28" w:type="dxa"/>
          <w:bottom w:w="28" w:type="dxa"/>
          <w:right w:w="28" w:type="dxa"/>
        </w:tblCellMar>
      </w:tblPr>
      <w:tblGrid>
        <w:gridCol w:w="254"/>
        <w:gridCol w:w="223"/>
        <w:gridCol w:w="225"/>
        <w:gridCol w:w="2783"/>
        <w:gridCol w:w="2783"/>
        <w:gridCol w:w="3937"/>
      </w:tblGrid>
      <w:tr>
        <w:trPr/>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3937" w:type="dxa"/>
            <w:tcBorders/>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95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Management’s Discussion and Analysis of Financial Condition and Results of Operations</w:t>
            </w:r>
            <w:r>
              <w:rPr>
                <w:color w:val="000000"/>
              </w:rPr>
              <w:t xml:space="preserve"> </w:t>
            </w:r>
            <w:r>
              <w:rPr>
                <w:rFonts w:ascii="Times New Roman;serif" w:hAnsi="Times New Roman;serif"/>
                <w:b/>
                <w:i/>
                <w:color w:val="000000"/>
                <w:sz w:val="20"/>
                <w:u w:val="single"/>
              </w:rPr>
              <w:t>(Dollars in Thousands)</w:t>
            </w:r>
            <w:r>
              <w:rPr>
                <w:rFonts w:ascii="Times New Roman;serif" w:hAnsi="Times New Roman;serif"/>
                <w:b/>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u w:val="single"/>
        </w:rPr>
      </w:pPr>
      <w:r>
        <w:rPr>
          <w:rFonts w:ascii="Times New Roman;serif" w:hAnsi="Times New Roman;serif"/>
          <w:b/>
          <w:color w:val="000000"/>
          <w:sz w:val="20"/>
          <w:u w:val="single"/>
        </w:rPr>
        <w:t>Overview</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2026, Casey’s General Stores, Inc. and its direct and indirect wholly-owned subsidiaries operate convenience stores primarily under the names "Casey's" and "Casey’s General Store" (collectively, with the stores below referenced as "GoodStop (by Casey's)" ("GoodStop"), or "CEFCO", referred to as "Casey's" or the "Company") throughout 19 states, approximately half of which are located in Iowa, Missouri and Illinois.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2026, there were 2,959 stores in operation. Approximately 71% of all stores were opened in areas with populations of fewer than 20,000 persons. The Company competes on the basis of traditional features of convenience store operations such as location, extended hours, product offerings, price and quality of service.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stores carry a broad selection of food items (which at most stores includes, but is not limited to, prepared foods such as regular and breakfast pizza, donuts, hot breakfast items, and hot and cold sandwiches), beverages, tobacco and nicotine products, groceries, health and beauty aids, automotive products, and other non-food items. As of July 31, 2026, 240 store locations offered car washes. In addition, all but five store locations offer fuel.</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the "Casey's" and "Casey's General Stores" brands, the Company also operates a limited number of stores under the additional brands of "GoodStop" or "CEFCO". These locations offer fuel for sale, and a broad selection of snacks, beverages, tobacco and nicotine products, and other essentials. However, some of these locations do not have a full-service kitchen and, therefore, have limited prepared food offerings. When the Company acquires stores, the locations are typically re-branded as "Casey’s" as soon as the store is remodeled to include a full-service kitchen. If the store’s layout or location does not allow for a full-service kitchen, the store typically will be operated as "GoodStop" or the acquired brand.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operates a wholesale network where Casey’s manages wholesale fuel supply agreements to certain dealer sites and other wholesale locations. The dealer and wholesale locations are not operated by Casey's and are not included in our overall store count. For the three-months ended July 31, 2026, approximately 3% of total revenue relates to the wholesale fuel network.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operates three distribution centers, through which certain grocery and general merchandise and prepared food and dispensed beverage items are supplied to most of our stores. One distribution center is adjacent to our corporate headquarters, which we refer to as the Store Support Center, in Ankeny, Iowa. The other two distribution centers are located in Terre Haute, Indiana and Joplin, Missouri. Certain stores outside of our optimal distribution radius, in Florida for example, are supplied by third-party distribution partners. Additionally, the Company owns and operates a fuel terminal in Waco, Texas. The Company self-distributes the majority of fuel to our stores.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business is seasonal, and generally experiences higher sales and profitability during the first and second fiscal quarters (May-October), when guests tend to purchase greater quantities of fuel and certain convenience items such as beer, sports drinks, water, soft drinks and ice.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reported diluted earnings per common share of $7.37 for the first quarter of fiscal 2027. For the same quarter a year-ago, diluted earnings per common share was $5.77.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roll forward of store count through the first quarter of fiscal 2027:</w:t>
      </w:r>
    </w:p>
    <w:tbl>
      <w:tblPr>
        <w:tblW w:w="3209" w:type="dxa"/>
        <w:jc w:val="left"/>
        <w:tblInd w:w="0" w:type="dxa"/>
        <w:tblLayout w:type="fixed"/>
        <w:tblCellMar>
          <w:top w:w="28" w:type="dxa"/>
          <w:left w:w="28" w:type="dxa"/>
          <w:bottom w:w="28" w:type="dxa"/>
          <w:right w:w="28" w:type="dxa"/>
        </w:tblCellMar>
      </w:tblPr>
      <w:tblGrid>
        <w:gridCol w:w="766"/>
        <w:gridCol w:w="671"/>
        <w:gridCol w:w="678"/>
        <w:gridCol w:w="320"/>
        <w:gridCol w:w="320"/>
        <w:gridCol w:w="4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Store Count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Stores at April 30, 2026</w:t>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store construction</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Closed or divested</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Stores at July 31, 2026</w:t>
            </w:r>
          </w:p>
        </w:tc>
        <w:tc>
          <w:tcPr>
            <w:tcW w:w="6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before="120" w:after="283"/>
        <w:ind w:left="0" w:right="0" w:firstLine="540"/>
        <w:jc w:val="left"/>
        <w:rPr/>
      </w:pPr>
      <w:r>
        <w:rPr/>
      </w:r>
    </w:p>
    <w:p>
      <w:pPr>
        <w:pStyle w:val="TextBody"/>
        <w:bidi w:val="0"/>
        <w:spacing w:lineRule="auto" w:line="26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Electric Vehicles and Renewable Fuels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Casey's continues to implement our electric vehicle ("EV") strategy and our management team remains committed to understanding how the increased demand for, and usage of, EVs impacts consumer behavior across our store footprint and beyond. As consumer demand for alternative fuel options continues to grow, albeit slowly, Casey’s has continued to add EV charging stations across our 19-state footprint. As of July 31, 2026, the Company has 294 charging stations at 68 stores, across 14 states. Our EV growth strategy is currently designed to selectively increase our charging stations at locations within our region where we see higher levels of consumer EV buying trends and demand for EV charging. To date, consumer EV demand within our Midwest footprint has been comparatively lower than the levels along the coasts. As EV demand from our guests increases, we are prepared to strategically integrate charging station options at select stores.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Same-Store Sales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Same-store sales is a common metric used in the convenience store industry. We define same-store sales as the total sales increase (or decrease) for stores open during the full time of both periods being presented. When comparing data, the store must be open for each entire fiscal period being compared. Remodeled stores that remained open or were closed for just a very brief period of time (i.e., less than a week) during the period being compared remain in the same-store sales comparison. If a store is replaced, either at the same location (i.e., razed and rebuilt) or relocated to a new location, it is removed from the comparison until the new store has been open for each entire period being compared. Newly constructed and acquired stores do not enter the calculation until they are open for each entire period being compared.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Same-store sales of prepared food and dispensed beverage increased 4.8% and grocery and general merchandise increased 2.7% during the quarter. The increase in prepared food and dispensed beverage same-store sales was driven primarily by positive traffic, led by whole pizzas. The increase in grocery and general merchandise same-store sales was primarily due to strong sales of non-alcoholic beverages. Additionally, the first quarter results reflected a 0.3% decrease in same-store fuel gallons sold.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lineRule="auto" w:line="288" w:before="240" w:after="283"/>
        <w:ind w:left="0" w:right="0" w:firstLine="540"/>
        <w:jc w:val="center"/>
        <w:rPr/>
      </w:pPr>
      <w:bookmarkStart w:id="0" w:name="i64996a0c7961451d819d0a177f745cb5_12055"/>
      <w:bookmarkEnd w:id="0"/>
      <w:r>
        <w:rPr>
          <w:rFonts w:ascii="Times New Roman;serif" w:hAnsi="Times New Roman;serif"/>
          <w:b/>
          <w:color w:val="000000"/>
          <w:sz w:val="20"/>
          <w:u w:val="single"/>
          <w:shd w:fill="FFFFFF" w:val="clear"/>
        </w:rPr>
        <w:t>Three M</w:t>
      </w:r>
      <w:r>
        <w:rPr>
          <w:rFonts w:ascii="Times New Roman;serif" w:hAnsi="Times New Roman;serif"/>
          <w:b/>
          <w:color w:val="000000"/>
          <w:sz w:val="20"/>
          <w:u w:val="single"/>
        </w:rPr>
        <w:t>onths Ended July 31, 2026 Compared to</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Three Months Ended July 31, 2025</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and Amounts in Thousands)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791"/>
        <w:gridCol w:w="365"/>
        <w:gridCol w:w="367"/>
        <w:gridCol w:w="228"/>
        <w:gridCol w:w="909"/>
        <w:gridCol w:w="325"/>
        <w:gridCol w:w="109"/>
        <w:gridCol w:w="109"/>
        <w:gridCol w:w="109"/>
        <w:gridCol w:w="211"/>
        <w:gridCol w:w="992"/>
        <w:gridCol w:w="301"/>
        <w:gridCol w:w="109"/>
        <w:gridCol w:w="109"/>
        <w:gridCol w:w="109"/>
        <w:gridCol w:w="211"/>
        <w:gridCol w:w="991"/>
        <w:gridCol w:w="301"/>
        <w:gridCol w:w="109"/>
        <w:gridCol w:w="109"/>
        <w:gridCol w:w="109"/>
        <w:gridCol w:w="211"/>
        <w:gridCol w:w="841"/>
        <w:gridCol w:w="301"/>
        <w:gridCol w:w="109"/>
        <w:gridCol w:w="109"/>
        <w:gridCol w:w="109"/>
        <w:gridCol w:w="211"/>
        <w:gridCol w:w="991"/>
        <w:gridCol w:w="350"/>
      </w:tblGrid>
      <w:tr>
        <w:trPr/>
        <w:tc>
          <w:tcPr>
            <w:tcW w:w="79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July 31, 2026</w:t>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Prepared Food &amp; Dispensed Beverage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Grocery &amp; General</w:t>
              <w:br/>
              <w:t>Merchandise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492,580</w:t>
            </w:r>
            <w:r>
              <w:rPr>
                <w:color w:val="000000"/>
              </w:rPr>
              <w:t>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1,284,961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3,724,798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175,997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5,678,336</w:t>
            </w:r>
            <w:r>
              <w:rPr>
                <w:color w:val="000000"/>
              </w:rPr>
              <w:t>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less cost of goods sold (excluding depreciation and amortization)</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291,971</w:t>
            </w: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457,838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446,929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42,456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1,239,194</w:t>
            </w: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w:t>
            </w: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w:t>
            </w: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gallons sold</w:t>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934,212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July 31, 2025</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Prepared Food &amp; Dispensed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Grocery &amp; General</w:t>
              <w:br/>
              <w:t>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458,434 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1,225,383 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2,733,659 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149,630 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4,567,106 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less cost of goods sold (excluding depreciation and amortization)</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265,983 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439,483 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373,554 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1,112,446 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gallons sold</w:t>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911,780 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for the first quarter of fiscal 2027 increased by $1,111,230 (24.3%) over the comparable period in fiscal 2026. Prepared food and dispensed beverage revenue increased by $34,146 (7.4%), due to an increase in same-store sales of 4.8% driven by strong sales of whole pizzas, as well as an increase of approximately 2.6% related to store growth, due to operating 64 more stores than a year ago. Grocery and general merchandise revenue increased by $59,578 (4.9%), due to an increase in same-store sales of 2.7% driven by sales of non-alcoholic beverages, as well as an increase of approximately 2.2% related to store growth. Retail fuel revenue increased by $991,139 (36.3%) due to an increase in the average retail price per gallon of 33.0%, as well as an increase in the number of gallons sold of 22,432 (2.5%).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other category primarily consists of activity related to wholesale fuel and car wash revenue, which are both presented gross of applicable costs, as well as lottery, which is presented net of applicable costs. Other revenue increased $26,367 (17.6%) for the first quarter of fiscal 2027 compared to the prior year, driven primarily by an increase in wholesale fuel revenue, largely driven by an increase in the average fuel price per gallon.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revenue less cost of goods sold (excluding depreciation and amortization) was 21.8% of revenue for the first quarter of fiscal 2027, compared to 24.4% for the comparable period in the prior year. Prepared food and dispensed beverage revenue less related cost of goods sold (excluding depreciation and amortization) increased to 59.3% of prepared food and dispensed beverage revenue for the first quarter of fiscal 2027, compared to 58.0% for the comparable period in the prior year. The increase was primarily due to refinements in the allocation for certain distribution costs between prepared food and dispensed beverage and grocery and general merchandise to better reflect the underlying expenses of each category. Grocery and general merchandise revenue less related cost of goods sold (excluding depreciation and amortization) remained relatively flat, decreasing from 35.9% in the comparable period in the prior year to 35.6% in the current year, largely driven by the offsetting impacts of the aforementioned allocation.</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Fuel revenue less related cost of goods sold (excluding depreciation and amortization) was 12.0% of fuel revenue during the first quarter of fiscal 2027, compared to 13.7% for the comparable period in the prior year. Revenue less cost of goods sold (excluding depreciation and amortization) per gallon increased to 47.8 cents in the first quarter of fiscal 2027, compared to 41.0 cents for the comparable period in the prior year. During the quarter, the Company, and the retail fuel industry, experienced historically higher than average fuel revenue less cost of goods sold per gallon (excluding depreciation and amortization). On a longer-term basis, this metric can fluctuate significantly, and sometimes unpredictably, in the short-term. The Company recognized $25,736 from renewable identification number ("RIN") related activities from 10.9 million RINs during the quarter, compared to $6,742 from 6.1 million RINs in the first quarter of the prior year (see Note </w:t>
      </w:r>
      <w:hyperlink w:anchor="i2e81585d558c40dfb6de5e9cd039788d_37">
        <w:r>
          <w:rPr>
            <w:rStyle w:val="InternetLink"/>
            <w:rFonts w:ascii="Times New Roman;serif" w:hAnsi="Times New Roman;serif"/>
            <w:b w:val="false"/>
            <w:color w:val="0000FF"/>
            <w:sz w:val="20"/>
            <w:u w:val="single"/>
          </w:rPr>
          <w:t>3</w:t>
        </w:r>
      </w:hyperlink>
      <w:r>
        <w:rPr>
          <w:rFonts w:ascii="Times New Roman;serif" w:hAnsi="Times New Roman;serif"/>
          <w:b w:val="false"/>
          <w:color w:val="000000"/>
          <w:sz w:val="20"/>
        </w:rPr>
        <w:t>, above, for a further description of RINs). The overall impact to fuel revenue less related cost of goods sold (excluding depreciation and amortization) from RINs was minimal during the quarter, given the higher related activity was offset by higher costs.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increased $55,935 (8.0%) to $754,111 in the first quarter of fiscal 2027. Operating 64 more stores than prior year accounted for approximately 2% of the increase. Same-store credit card fees added approximately 1.5%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increase. Same-store employee expense contributed to approximately 1% of the increase, primarily due to increases in labor rates, while same-store labor hours were nearly flat. Insurance was responsible for approximately 1% of the increase.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$7,031 (6.5%) to $115,994 in the first quarter of fiscal 2027, primarily due to purchases of property and equipment since the comparable period.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net decreased $4,791 (17.8%) to $22,059 in the first quarter of fiscal 2027, primarily due to a decrease in the interest rate on our variable-rate debt.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effective tax rate decreased to 21.1% in the first quarter of fiscal 2027 compared to 22.7% in the same period of fiscal 2026. The decrease in the effective tax rate was primarily due to an increase in excess tax benefits recognized on share-based awards.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income increased $58,365 (27.1%) to $273,720 compared to $215,355 in the comparable period. The increase in net income was primarily attributable to higher profitability both inside the store and in fuel, partially offset by increases in operating expenses, and depreciation and amortization. See discussion in the paragraphs above for the primary drivers for each of these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Use of Non-GAAP Measures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EBITDA as net income before net interest expense, income taxes, and depreciation and amortization. EBITDA is not considered to be a GAAP measure, and should not be considered as a substitute for net income, cash flows from operating activities or other income or cash flow statement data. This measure has limitations as an analytical tool, and should not be considered in isolation or as a substitute for analysis of our results as reported under GAAP. We strongly encourage investors to review our financial statements and publicly filed reports in their entirety and not to rely on any single financial measure.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EBITDA is useful to investors in evaluating our operating performance because securities analysts and other interested parties use this calculation as a measure of financial performance and debt service capabilities, and it is regularly used by management for internal purposes including our capital budgeting process, evaluating acquisition targets, assessing performance, and awarding incentive compensation.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non-GAAP financial measures are not standardized, EBITDA, as defined by us, may not be comparable to similarly titled measures reported by other companies. It therefore may not be possible to compare our use of this non-GAAP financial measure with those used by other companies.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contains a reconciliation of net income to EBITDA for the three months ended July 31, 2026 and 2025:</w:t>
      </w:r>
    </w:p>
    <w:tbl>
      <w:tblPr>
        <w:tblW w:w="5709" w:type="dxa"/>
        <w:jc w:val="left"/>
        <w:tblInd w:w="0" w:type="dxa"/>
        <w:tblLayout w:type="fixed"/>
        <w:tblCellMar>
          <w:top w:w="28" w:type="dxa"/>
          <w:left w:w="28" w:type="dxa"/>
          <w:bottom w:w="28" w:type="dxa"/>
          <w:right w:w="28" w:type="dxa"/>
        </w:tblCellMar>
      </w:tblPr>
      <w:tblGrid>
        <w:gridCol w:w="940"/>
        <w:gridCol w:w="823"/>
        <w:gridCol w:w="831"/>
        <w:gridCol w:w="211"/>
        <w:gridCol w:w="841"/>
        <w:gridCol w:w="109"/>
        <w:gridCol w:w="109"/>
        <w:gridCol w:w="109"/>
        <w:gridCol w:w="109"/>
        <w:gridCol w:w="211"/>
        <w:gridCol w:w="826"/>
        <w:gridCol w:w="109"/>
        <w:gridCol w:w="109"/>
        <w:gridCol w:w="109"/>
        <w:gridCol w:w="109"/>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273,720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73,310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485,083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July 31, 2026, EBITDA increased by 17.1% when compared to the same period a year ago. The increase was primarily attributable to higher profitability both inside the store and in fuel, partially offset by higher operating expenses. See discussion in the preceding sections for the primary drivers for each of these individual changes.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Critical Accounting Policies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Critical accounting policies are those accounting policies that management believes are important to the portrayal of the Company’s financial condition and results of operations. The Company's critical accounting policies are described in the Form 10-K for the year ended April 30, 2026, and such discussion is incorporated herein by reference. There have been no changes to these policies in the three months ended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Liquidity and Capital Resources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nature of the Company’s business, cash provided by operations is the Company’s primary source of liquidity. The Company finances its inventory purchases primarily from normal trade credit aided by the relatively rapid turnover of inventory. This turnover allows the Company to conduct its operations without large amounts of cash and working capital. As of July 31, 2026, the Company’s ratio of current assets to current liabilities was 1.02 to 1. The ratio at July 31, 2025 and April 30, 2026 was 1.03 to 1 and 1.01 to 1, respectively.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net availability under the Bank Line of approximately $50,000 and the Revolving Facility of $807,375, combined with the current cash and cash equivalents and the future cash flow from operations will be sufficient to satisfy the working capital needs of our business.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Net cash provided by operating activities was $384,072 for the three months ended July 31, 2026, compared to $372,417 for the comparable period in the prior year, an increase of $11,655. Our primary source of operating cash flows is from sales to guests at our stores. The primary uses of operating cash flows are payments to our team members and suppliers, as well as payments for taxes and interest. Cash flow from operations was favorably impacted by improved revenue less cost of goods sold (excluding depreciation and amortization) of $126,748, and a decrease in cash paid for interest of $4,398. This was offset by an increase in operating expenses of $55,935. Refer to "Three Months Ended July 31, 2026 Compared to Three Months Ended July 31, 2025" starting on page </w:t>
      </w:r>
      <w:hyperlink w:anchor="i64996a0c7961451d819d0a177f745cb5_12055">
        <w:bookmarkStart w:id="1" w:name="i26d255a83a3548d6bda8e4040bc14d8f_4147"/>
        <w:bookmarkEnd w:id="1"/>
        <w:r>
          <w:rPr>
            <w:rStyle w:val="InternetLink"/>
            <w:rFonts w:ascii="Times New Roman;serif" w:hAnsi="Times New Roman;serif"/>
            <w:b w:val="false"/>
            <w:color w:val="0000FF"/>
            <w:sz w:val="20"/>
            <w:u w:val="single"/>
          </w:rPr>
          <w:t>16</w:t>
        </w:r>
      </w:hyperlink>
      <w:r>
        <w:rPr>
          <w:color w:val="000000"/>
        </w:rPr>
        <w:t xml:space="preserve"> </w:t>
      </w:r>
      <w:r>
        <w:rPr>
          <w:rFonts w:ascii="Times New Roman;serif" w:hAnsi="Times New Roman;serif"/>
          <w:b w:val="false"/>
          <w:color w:val="000000"/>
          <w:sz w:val="20"/>
        </w:rPr>
        <w:t>for further details on the primary drivers for the changes in revenue, cost of goods sold (excluding depreciation and amortization), operating expenses, and interest. Cash flows from operations can also be impacted by variability in the timing of payments and receipts for certain assets and liabilities, such as wage related accruals, accounts payable, and receivables from credit card companies or our vendors. Operating cash flows were also unfavorably impacted by a decrease of $53,166 related to accounts payable and accrued expenses, due to the timing of payments.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$234,721 for the three months ended July 31, 2026, compared to $102,042 in the comparable period in the prior year, an increase of $132,679. During the first three months of fiscal 2027, the Company expended $238,299 for purchases of property and equipment and payments for acquisitions compared to $119,541 for the comparable period in the prior year. Purchases of property and equipment and payments for acquisitions of businesses typically represent the single largest use of excess Company funds. Management believes that by acquiring, building, and reinvesting in stores, the Company will be better able to drive long-term shareholder value.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$148,283 for the three months ended July 31, 2026, compared to $138,964 in the comparable period in the prior year, an increase of $9,319. The increase was primarily due to an increase in the repurchase and retirement of common stock under our share repurchase program of approximately $13,605, and an increase in payments for tax withholdings on employee shared-based awards of $32,667, due to an increase in the fair value of restricted stock units vested during the quarter. This was offset by an increase in proceeds from long-term debt of $42,625 due to borrowings under the Revolving Facility during the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July 31, 2026, the Company had long-term debt consisting of:</w:t>
      </w:r>
    </w:p>
    <w:tbl>
      <w:tblPr>
        <w:tblW w:w="10205" w:type="dxa"/>
        <w:jc w:val="left"/>
        <w:tblInd w:w="0" w:type="dxa"/>
        <w:tblLayout w:type="fixed"/>
        <w:tblCellMar>
          <w:top w:w="28" w:type="dxa"/>
          <w:left w:w="28" w:type="dxa"/>
          <w:bottom w:w="28" w:type="dxa"/>
          <w:right w:w="28" w:type="dxa"/>
        </w:tblCellMar>
      </w:tblPr>
      <w:tblGrid>
        <w:gridCol w:w="3222"/>
        <w:gridCol w:w="2816"/>
        <w:gridCol w:w="2824"/>
        <w:gridCol w:w="211"/>
        <w:gridCol w:w="976"/>
        <w:gridCol w:w="156"/>
      </w:tblGrid>
      <w:tr>
        <w:trPr/>
        <w:tc>
          <w:tcPr>
            <w:tcW w:w="3222"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3.67% Senior notes (Series A) due in 7 installments beginning June 17, 2022, and ending June 15, 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3.75% Senior notes (Series B) due in 7 installments beginning December 17, 2022 and ending December 18, 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3.65% Senior notes (Series C) due in 7 installments beginning May 2, 2025 and ending May 2, 2031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3.72% Senior notes (Series D) due in 7 installments beginning October 28, 2025 and ending October 28, 2031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3.77% Senior notes (Series F) due August 22, 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2.85% Senior notes (Series G) due August 7, 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2.96% Senior notes (Series H) due August 6, 2032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5.23% Senior notes (Series I) due November 2, 2031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5.43% Senior notes (Series J) due November 2, 2034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rate term loan facility, requiring quarterly installments beginning June 30, 2027 and ending April 21, 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Variable rate incremental term loan facility, requiring quarterly installments ending October 30,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rate revolving facility due April 21, 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2,430,523 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2,326,200 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funded purchases of property and equipment and payments for acquisitions of businesses primarily from the issuance of debt, existing cash, and funds generated from operations. Future capital needs required to finance operations, improvements and the anticipated growth in the number of stores are expected to be met from cash generated by operations, the Revolving Facility, the Bank Line, and additional long-term debt or other securities as circumstances may dictate, and are not expected to adversely affect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before="14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Cautionary Statements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Form 10-Q, including but not limited to the Management’s Discussion and Analysis of Financial Condition and Results of Operations, contains “forward-looking statements” within the meaning of Section 27A of the Securities Act of 1933, as amended, Section 21E of the Securities Exchange Act of 1934, as amended, and the Private Securities Litigation Reform Act of 1995. The words “may,” “will,” "should," “believe,” “expect,” “anticipate,” “intend,” “estimate,” “project,” “continue,” and similar expressions are used to identify forward-looking statements. Forward-looking statements represent the Company’s current expectations or beliefs concerning future events and trends that we believe may affect our financial condition, liquidity and related sources and needs, supply chain, results of operations and performance at our stores, business strategy, strategic plans, growth opportunities, integration of acquisitions, acquisition synergies, short-term and long-term business operations and objectives including our long-term strategic plan, wholesale fuel, inventory and ingredient costs and the potential effects of the conflicts in oil producing regions and other geopolitical disruptions on our business. The Company cautions that these statements are further qualified by important factors that could cause actual results to differ materially from those in the forward-looking statements, including, without limitation, the following risk factors described more completely in the Company’s Form 10-K for the fiscal year ended April 30, 2026:</w:t>
      </w:r>
    </w:p>
    <w:p>
      <w:pPr>
        <w:pStyle w:val="TextBody"/>
        <w:bidi w:val="0"/>
        <w:spacing w:lineRule="auto" w:line="288" w:before="120" w:after="283"/>
        <w:ind w:left="0" w:right="0" w:firstLine="540"/>
        <w:jc w:val="left"/>
        <w:rPr/>
      </w:pPr>
      <w:r>
        <w:rPr>
          <w:rFonts w:ascii="Times New Roman;serif" w:hAnsi="Times New Roman;serif"/>
          <w:b w:val="false"/>
          <w:color w:val="000000"/>
          <w:sz w:val="20"/>
          <w:u w:val="single"/>
        </w:rPr>
        <w:t>Business Operations</w:t>
      </w:r>
      <w:r>
        <w:rPr>
          <w:rFonts w:ascii="Times New Roman;serif" w:hAnsi="Times New Roman;serif"/>
          <w:b w:val="false"/>
          <w:color w:val="000000"/>
          <w:sz w:val="20"/>
        </w:rPr>
        <w:t>: Our business and our reputation could be adversely affected by a cyber or data security incident or the failure to protect sensitive guest, Team Member or supplier data, or the failure to comply with applicable regulations relating to data security and privacy; food-safety issues and foodborne illnesses, whether actual or reported, or the failure to comply with applicable regulations relating to the transportation, storage, preparation or service of food, could adversely affect our business and reputation; we may be adversely impacted by increases in the cost of food ingredients and other related costs; a significant disruption to our distribution network, to the capacity of the distribution centers, or timely receipt of inventory could adversely impact our sales or increase our transaction costs, which could have a material adverse effect on our business; we could be adversely affected if we experience difficulties in, or are unable to recruit, hire or retain, members of our leadership team and other distribution, field and store Team Members; any failure to anticipate and respond to changes in consumer preferences, or to introduce and promote innovative technology for guest interaction, could adversely affect our financial results; we rely on our information technology systems, and a number of third-party software and technology providers, to support numerous aspects of our business, and a disruption of these systems could adversely affect our business; increased credit card expenses could lead to higher operating expenses and other costs for the Company; our operations present hazards and risks which may not be fully covered by insurance, if insured; the dangers inherent in the storage and transport of fuel could cause disruptions and could expose to us potentially significant losses, costs or liabilities; consumer or other litigation could adversely affect our financial condition and results of operations; pandemics or disease outbreaks, responsive actions taken by governments and others to mitigate their spread, and guest behavior in response to these events, have, and may in the future, adversely affect our business operations, supply chain and financial results; and, covenants in our Senior Notes and credit facility agreements require us to comply with certain covenants and meet financial maintenance tests and the failure to comply with these requirements could have a material impact to us.</w:t>
      </w:r>
    </w:p>
    <w:p>
      <w:pPr>
        <w:pStyle w:val="TextBody"/>
        <w:bidi w:val="0"/>
        <w:spacing w:lineRule="auto" w:line="288" w:before="120" w:after="283"/>
        <w:ind w:left="0" w:right="0" w:firstLine="540"/>
        <w:jc w:val="left"/>
        <w:rPr/>
      </w:pPr>
      <w:r>
        <w:rPr>
          <w:rFonts w:ascii="Times New Roman;serif" w:hAnsi="Times New Roman;serif"/>
          <w:b w:val="false"/>
          <w:color w:val="000000"/>
          <w:sz w:val="20"/>
          <w:u w:val="single"/>
        </w:rPr>
        <w:t>Governmental Actions, Regulations, and Oversight</w:t>
      </w:r>
      <w:r>
        <w:rPr>
          <w:rFonts w:ascii="Times New Roman;serif" w:hAnsi="Times New Roman;serif"/>
          <w:b w:val="false"/>
          <w:color w:val="000000"/>
          <w:sz w:val="20"/>
        </w:rPr>
        <w:t>: Compliance with and changes in tax laws could adversely affect our performance; we are subject to extensive governmental regulations; governmental action and campaigns to discourage tobacco and nicotine use and other tobacco products may have a material adverse effect on our revenues and gross profit; and, wholesale cost and tax increases relating to tobacco and nicotine products could affect our operating results.</w:t>
      </w:r>
    </w:p>
    <w:p>
      <w:pPr>
        <w:pStyle w:val="TextBody"/>
        <w:bidi w:val="0"/>
        <w:spacing w:lineRule="auto" w:line="288" w:before="120" w:after="283"/>
        <w:ind w:left="0" w:right="0" w:firstLine="540"/>
        <w:jc w:val="left"/>
        <w:rPr/>
      </w:pPr>
      <w:r>
        <w:rPr>
          <w:rFonts w:ascii="Times New Roman;serif" w:hAnsi="Times New Roman;serif"/>
          <w:b w:val="false"/>
          <w:color w:val="000000"/>
          <w:sz w:val="20"/>
          <w:u w:val="single"/>
        </w:rPr>
        <w:t>Industry</w:t>
      </w:r>
      <w:r>
        <w:rPr>
          <w:rFonts w:ascii="Times New Roman;serif" w:hAnsi="Times New Roman;serif"/>
          <w:b w:val="false"/>
          <w:color w:val="000000"/>
          <w:sz w:val="20"/>
        </w:rPr>
        <w:t>: General economic and political conditions that are largely out of the Company’s control may adversely affect the Company’s financial condition and results of operations; developments related to fuel efficiency, fuel conservation practices, climate change, and changing consumer preferences may decrease the demand for motor fuel; unfavorable weather conditions can adversely affect our business; the volatility of wholesale petroleum costs could adversely affect our operating results; and, the convenience store industry is highly competitive.</w:t>
      </w:r>
    </w:p>
    <w:p>
      <w:pPr>
        <w:pStyle w:val="TextBody"/>
        <w:bidi w:val="0"/>
        <w:spacing w:lineRule="auto" w:line="288" w:before="120" w:after="283"/>
        <w:ind w:left="0" w:right="0" w:firstLine="540"/>
        <w:jc w:val="left"/>
        <w:rPr/>
      </w:pPr>
      <w:r>
        <w:rPr>
          <w:rFonts w:ascii="Times New Roman;serif" w:hAnsi="Times New Roman;serif"/>
          <w:b w:val="false"/>
          <w:color w:val="000000"/>
          <w:sz w:val="20"/>
          <w:u w:val="single"/>
        </w:rPr>
        <w:t>Growth Strategies</w:t>
      </w:r>
      <w:r>
        <w:rPr>
          <w:rFonts w:ascii="Times New Roman;serif" w:hAnsi="Times New Roman;serif"/>
          <w:b w:val="false"/>
          <w:color w:val="000000"/>
          <w:sz w:val="20"/>
        </w:rPr>
        <w:t>: We may not be able to identify, acquire, and integrate new properties and stores, which could adversely affect our ability to grow our business.</w:t>
      </w:r>
    </w:p>
    <w:p>
      <w:pPr>
        <w:pStyle w:val="TextBody"/>
        <w:bidi w:val="0"/>
        <w:spacing w:lineRule="auto" w:line="288" w:before="120" w:after="283"/>
        <w:ind w:left="0" w:right="0" w:firstLine="540"/>
        <w:jc w:val="left"/>
        <w:rPr/>
      </w:pPr>
      <w:r>
        <w:rPr>
          <w:rFonts w:ascii="Times New Roman;serif" w:hAnsi="Times New Roman;serif"/>
          <w:b w:val="false"/>
          <w:color w:val="000000"/>
          <w:sz w:val="20"/>
          <w:u w:val="single"/>
        </w:rPr>
        <w:t>Common Stock</w:t>
      </w:r>
      <w:r>
        <w:rPr>
          <w:rFonts w:ascii="Times New Roman;serif" w:hAnsi="Times New Roman;serif"/>
          <w:b w:val="false"/>
          <w:color w:val="000000"/>
          <w:sz w:val="20"/>
        </w:rPr>
        <w:t>: The market price for our common stock has been and may in the future be volatile, which could cause the value of your investment to decline; any issuance of shares of our common stock in the future could have a dilutive effect on your investment; and, Iowa law and provisions in our charter documents may have the effect of preventing or hindering a change in control and adversely affecting the market price of our common stock.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further caution you that other factors we have not identified may in the future prove to be important in affecting our business and results of operations. We ask you not to place undue reliance on any forward-looking statements because they speak only of our views as of the statement dates. We undertake no obligation to publicly update or revise any forward-looking statements, whether as a result of new information, future events, or otherwise.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3. </w:t>
      </w:r>
      <w:r>
        <w:rPr>
          <w:rFonts w:ascii="Times New Roman;serif" w:hAnsi="Times New Roman;serif"/>
          <w:b/>
          <w:color w:val="000000"/>
          <w:sz w:val="20"/>
          <w:u w:val="single"/>
        </w:rPr>
        <w:t>Quantitative and Qualitative Disclosures about Market Risk</w:t>
      </w:r>
      <w:r>
        <w:rPr>
          <w:rFonts w:ascii="Times New Roman;serif" w:hAnsi="Times New Roman;serif"/>
          <w:b/>
          <w:color w:val="000000"/>
          <w:sz w:val="20"/>
        </w:rPr>
        <w: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exposure to market risk for changes in interest rates relates primarily to our investment portfolio and floating rate long-term debt obligations. We place our investments with high-quality credit issuers and, by policy, limit the amount of credit exposure to any one issuer. Our first priority is to reduce the risk of principal loss. Consequently, we seek to preserve our invested funds by attempting to limit default risk, market risk, and reinvestment risk. We attempt to mitigate default risk by investing in only high-quality credit securities that we believe to be low risk and by positioning our portfolio to respond appropriately to a significant reduction in a credit rating of any investment issuer or guarantor. The portfolio includes only marketable securities with active secondary or resale markets to ensure portfolio liquidity. We utilize an interest rate swap to manage exposure to fluctuations in variable interest rates on certain of our outstanding debt instruments. While the interest rate swap is not designated as a hedging instrument for accounting purposes, the Company does not enter into interest rate swap agreements for trading or speculative purposes. The impact of the interest rate swap was immaterial to the financial statements as of July 31, 2026 and for the period then ended. Based upon the outstanding balance of the Company's term loan facilities as of July 31, 2026, an immediate 100-basis-point move in interest rates would have an approximate annualized impact of $9.7 million on interest expense.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has exposure to market risks related to the volatility of fuel prices associated with non-store inventoried fuel (fuel pipeline and fuel terminal). The Company utilizes futures contracts to economically hedge the physical products while the bulk fuel is in storage at various terminals and pipelines, until such time the underlying gallons can be delivered to the store or customer. The Company does not speculate in trading financial instruments. All hedges must be matched against recorded physical transactions, inventoried fuel in a pipeline or at a terminal. Derivative contracts outstanding were immaterial to the financial statements as of July 31, 2026 and for the period then ended.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from time to time, participate in a forward buy of certain commodities. These are not accounted for as derivatives under the normal purchase and sale exclusions under the applicable accounting guidance.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Item 4</w:t>
      </w:r>
      <w:r>
        <w:rPr>
          <w:rFonts w:ascii="Times New Roman;serif" w:hAnsi="Times New Roman;serif"/>
          <w:b w:val="false"/>
          <w:color w:val="000000"/>
          <w:sz w:val="20"/>
        </w:rPr>
        <w:t xml:space="preserve">. </w:t>
      </w:r>
      <w:r>
        <w:rPr>
          <w:rFonts w:ascii="Times New Roman;serif" w:hAnsi="Times New Roman;serif"/>
          <w:b/>
          <w:color w:val="000000"/>
          <w:sz w:val="20"/>
          <w:u w:val="single"/>
        </w:rPr>
        <w:t>Controls and Procedures</w:t>
      </w:r>
      <w:r>
        <w:rPr>
          <w:rFonts w:ascii="Times New Roman;serif" w:hAnsi="Times New Roman;serif"/>
          <w:b w:val="false"/>
          <w:color w:val="000000"/>
          <w:sz w:val="20"/>
        </w:rPr>
        <w:t>.</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Evaluation of Disclosure Controls and Procedures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end of the period covered by this report, an evaluation was performed under the supervision and with the participation of the Company’s Chief Executive Officer and Chief Financial Officer of the effectiveness of the Company’s disclosure controls and procedures (as defined in Exchange Act Rule 240.13a-15(e)). Based on that evaluation, the Chief Executive Officer and the Chief Financial Officer have concluded that the Company’s current disclosure controls and procedures are effective to ensure that information required to be disclosed by the Company in the reports that it files or submits under the Exchange Act is recorded, processed, summarized and reported, within the time periods specified in the SEC’s rules and forms and such information is accumulated and communicated to our management, including our Chief Executive Officer and Chief Financial Officer, to allow timely decisions regarding required disclosures. </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Changes in Internal Controls Over Financial Reporting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during the quarter ended July 31,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lineRule="auto" w:line="288" w:before="480" w:after="283"/>
        <w:jc w:val="left"/>
        <w:rPr>
          <w:rFonts w:ascii="Times New Roman;serif" w:hAnsi="Times New Roman;serif"/>
          <w:b/>
          <w:color w:val="000000"/>
          <w:sz w:val="20"/>
          <w:u w:val="single"/>
        </w:rPr>
      </w:pPr>
      <w:r>
        <w:rPr>
          <w:rFonts w:ascii="Times New Roman;serif" w:hAnsi="Times New Roman;serif"/>
          <w:b/>
          <w:color w:val="000000"/>
          <w:sz w:val="20"/>
          <w:u w:val="single"/>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 xml:space="preserve">Item 1. </w:t>
      </w:r>
      <w:r>
        <w:rPr>
          <w:rFonts w:ascii="Times New Roman;serif" w:hAnsi="Times New Roman;serif"/>
          <w:b/>
          <w:color w:val="000000"/>
          <w:sz w:val="20"/>
          <w:u w:val="single"/>
        </w:rPr>
        <w:t>Legal Proceedings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The information required by this Item is set forth in Note </w:t>
      </w:r>
      <w:hyperlink w:anchor="i2e81585d558c40dfb6de5e9cd039788d_52">
        <w:r>
          <w:rPr>
            <w:rStyle w:val="InternetLink"/>
            <w:rFonts w:ascii="Times New Roman;serif" w:hAnsi="Times New Roman;serif"/>
            <w:b w:val="false"/>
            <w:color w:val="0000FF"/>
            <w:sz w:val="20"/>
            <w:u w:val="single"/>
          </w:rPr>
          <w:t>6</w:t>
        </w:r>
      </w:hyperlink>
      <w:r>
        <w:rPr>
          <w:color w:val="000000"/>
        </w:rPr>
        <w:t xml:space="preserve"> </w:t>
      </w:r>
      <w:r>
        <w:rPr>
          <w:rFonts w:ascii="Times New Roman;serif" w:hAnsi="Times New Roman;serif"/>
          <w:b w:val="false"/>
          <w:color w:val="000000"/>
          <w:sz w:val="20"/>
        </w:rPr>
        <w:t>to the unaudited condensed consolidated financial statements included in Part I, Item 1 of this Form 10-Q and is incorporated herein by this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 xml:space="preserve">Item 1A. </w:t>
      </w:r>
      <w:r>
        <w:rPr>
          <w:rFonts w:ascii="Times New Roman;serif" w:hAnsi="Times New Roman;serif"/>
          <w:b/>
          <w:color w:val="000000"/>
          <w:sz w:val="20"/>
          <w:u w:val="single"/>
        </w:rPr>
        <w:t>Risk Factors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“risk factors” from those previously disclosed in our 2026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 xml:space="preserve">Item 2. </w:t>
      </w:r>
      <w:r>
        <w:rPr>
          <w:rFonts w:ascii="Times New Roman;serif" w:hAnsi="Times New Roman;serif"/>
          <w:b/>
          <w:color w:val="000000"/>
          <w:sz w:val="20"/>
          <w:u w:val="single"/>
        </w:rPr>
        <w:t>Unregistered Sales of Equity Securities and Use of Proceeds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with respect to the Company's repurchases of common stock during the quarter ended July 31, 2026: </w:t>
      </w:r>
    </w:p>
    <w:tbl>
      <w:tblPr>
        <w:tblW w:w="10205" w:type="dxa"/>
        <w:jc w:val="left"/>
        <w:tblInd w:w="0" w:type="dxa"/>
        <w:tblLayout w:type="fixed"/>
        <w:tblCellMar>
          <w:top w:w="28" w:type="dxa"/>
          <w:left w:w="28" w:type="dxa"/>
          <w:bottom w:w="28" w:type="dxa"/>
          <w:right w:w="28" w:type="dxa"/>
        </w:tblCellMar>
      </w:tblPr>
      <w:tblGrid>
        <w:gridCol w:w="355"/>
        <w:gridCol w:w="312"/>
        <w:gridCol w:w="316"/>
        <w:gridCol w:w="527"/>
        <w:gridCol w:w="479"/>
        <w:gridCol w:w="481"/>
        <w:gridCol w:w="109"/>
        <w:gridCol w:w="109"/>
        <w:gridCol w:w="109"/>
        <w:gridCol w:w="281"/>
        <w:gridCol w:w="961"/>
        <w:gridCol w:w="145"/>
        <w:gridCol w:w="109"/>
        <w:gridCol w:w="109"/>
        <w:gridCol w:w="109"/>
        <w:gridCol w:w="818"/>
        <w:gridCol w:w="802"/>
        <w:gridCol w:w="804"/>
        <w:gridCol w:w="109"/>
        <w:gridCol w:w="109"/>
        <w:gridCol w:w="109"/>
        <w:gridCol w:w="399"/>
        <w:gridCol w:w="2246"/>
        <w:gridCol w:w="298"/>
      </w:tblGrid>
      <w:tr>
        <w:trPr/>
        <w:tc>
          <w:tcPr>
            <w:tcW w:w="35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Maximum Dollar Value of Shares That May Yet Be Purchased Under the Plans or Programs</w:t>
            </w:r>
          </w:p>
        </w:tc>
      </w:tr>
      <w:tr>
        <w:trPr/>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18,696 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78,868,744 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17,386 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17,386 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988,332,112 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 July 31, 2026</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18,565 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972,601,128 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54,647 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835.19 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54,647 </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972,601,128 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r>
      <w:tr>
        <w:trPr/>
        <w:tc>
          <w:tcPr>
            <w:tcW w:w="983"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r>
      <w:tr>
        <w:trPr/>
        <w:tc>
          <w:tcPr>
            <w:tcW w:w="983"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and effective as of, March 3, 2022, the Board authorized a share repurchase program, whereby the Company was authorized to repurchase its outstanding common stock from time-to-time, for an aggregate amount of up to $400 million, exclusive of fees, commissions, excise taxes, or other costs (the "Original Repurchase Program"). On, and effective as of, June 4, 2026, the Board of Directors authorized an expansion of the Original Repurchase Program to a total aggregate amount of up to $1.0 billion exclusive of fees, commissions, excise taxes, or other costs (the "Expanded Repurchase Program"). The Expanded Repurchase Program has no set expiration date. The timing and number of repurchase transactions under the Expanded Repurchase Program depends on a variety of factors including, but not limited to, market conditions, corporate considerations, business opportunities, debt agreements, and regulatory requirements. The Expanded Repurchase Program can be suspended or discontinued at any time. During the first quarter, we repurchased and retired 54,647 shares of our common stock under the share repurchase programs for a total of $45.6 million, excluding fees, commissions, excise taxes, and other costs. As of July 31, 2026, $972.6 million remained available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color w:val="000000"/>
          <w:sz w:val="20"/>
          <w:u w:val="single"/>
        </w:rPr>
        <w:t>Exhibits</w:t>
      </w:r>
      <w:r>
        <w:rPr>
          <w:rFonts w:ascii="Times New Roman;serif" w:hAnsi="Times New Roman;serif"/>
          <w:b/>
          <w:color w:val="000000"/>
          <w:sz w:val="20"/>
        </w:rPr>
        <w:t>.</w:t>
      </w:r>
    </w:p>
    <w:tbl>
      <w:tblPr>
        <w:tblW w:w="10205" w:type="dxa"/>
        <w:jc w:val="left"/>
        <w:tblInd w:w="0" w:type="dxa"/>
        <w:tblLayout w:type="fixed"/>
        <w:tblCellMar>
          <w:top w:w="28" w:type="dxa"/>
          <w:left w:w="28" w:type="dxa"/>
          <w:bottom w:w="28" w:type="dxa"/>
          <w:right w:w="28" w:type="dxa"/>
        </w:tblCellMar>
      </w:tblPr>
      <w:tblGrid>
        <w:gridCol w:w="270"/>
        <w:gridCol w:w="239"/>
        <w:gridCol w:w="240"/>
        <w:gridCol w:w="2810"/>
        <w:gridCol w:w="2746"/>
        <w:gridCol w:w="3900"/>
      </w:tblGrid>
      <w:tr>
        <w:trPr/>
        <w:tc>
          <w:tcPr>
            <w:tcW w:w="27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3900"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Exhibit</w:t>
              <w:br/>
              <w:t>No.</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Description</w:t>
            </w:r>
          </w:p>
        </w:tc>
      </w:tr>
      <w:tr>
        <w:trPr/>
        <w:tc>
          <w:tcPr>
            <w:tcW w:w="749" w:type="dxa"/>
            <w:gridSpan w:val="3"/>
            <w:tcBorders/>
            <w:vAlign w:val="center"/>
          </w:tcPr>
          <w:p>
            <w:pPr>
              <w:pStyle w:val="TableContents"/>
              <w:bidi w:val="0"/>
              <w:spacing w:before="0" w:after="283"/>
              <w:jc w:val="left"/>
              <w:rPr>
                <w:sz w:val="4"/>
                <w:szCs w:val="4"/>
              </w:rPr>
            </w:pPr>
            <w:r>
              <w:rPr>
                <w:sz w:val="4"/>
                <w:szCs w:val="4"/>
              </w:rPr>
            </w:r>
          </w:p>
        </w:tc>
        <w:tc>
          <w:tcPr>
            <w:tcW w:w="9456" w:type="dxa"/>
            <w:gridSpan w:val="3"/>
            <w:tcBorders/>
            <w:vAlign w:val="center"/>
          </w:tcPr>
          <w:p>
            <w:pPr>
              <w:pStyle w:val="TableContents"/>
              <w:bidi w:val="0"/>
              <w:spacing w:before="0" w:after="283"/>
              <w:jc w:val="left"/>
              <w:rPr>
                <w:sz w:val="4"/>
                <w:szCs w:val="4"/>
              </w:rPr>
            </w:pPr>
            <w:r>
              <w:rPr>
                <w:sz w:val="4"/>
                <w:szCs w:val="4"/>
              </w:rPr>
            </w:r>
          </w:p>
        </w:tc>
      </w:tr>
      <w:tr>
        <w:trPr/>
        <w:tc>
          <w:tcPr>
            <w:tcW w:w="749" w:type="dxa"/>
            <w:gridSpan w:val="3"/>
            <w:tcBorders/>
            <w:vAlign w:val="center"/>
          </w:tcPr>
          <w:p>
            <w:pPr>
              <w:pStyle w:val="TableContents"/>
              <w:bidi w:val="0"/>
              <w:spacing w:before="0" w:after="283"/>
              <w:jc w:val="left"/>
              <w:rPr>
                <w:sz w:val="4"/>
                <w:szCs w:val="4"/>
              </w:rPr>
            </w:pPr>
            <w:r>
              <w:rPr>
                <w:sz w:val="4"/>
                <w:szCs w:val="4"/>
              </w:rPr>
            </w:r>
          </w:p>
        </w:tc>
        <w:tc>
          <w:tcPr>
            <w:tcW w:w="9456" w:type="dxa"/>
            <w:gridSpan w:val="3"/>
            <w:tcBorders/>
            <w:vAlign w:val="center"/>
          </w:tcPr>
          <w:p>
            <w:pPr>
              <w:pStyle w:val="TableContents"/>
              <w:bidi w:val="0"/>
              <w:spacing w:before="0" w:after="283"/>
              <w:jc w:val="left"/>
              <w:rPr>
                <w:sz w:val="4"/>
                <w:szCs w:val="4"/>
              </w:rPr>
            </w:pPr>
            <w:r>
              <w:rPr>
                <w:sz w:val="4"/>
                <w:szCs w:val="4"/>
              </w:rPr>
            </w:r>
          </w:p>
        </w:tc>
      </w:tr>
      <w:tr>
        <w:trPr/>
        <w:tc>
          <w:tcPr>
            <w:tcW w:w="749" w:type="dxa"/>
            <w:gridSpan w:val="3"/>
            <w:tcBorders/>
            <w:vAlign w:val="center"/>
          </w:tcPr>
          <w:p>
            <w:pPr>
              <w:pStyle w:val="TableContents"/>
              <w:bidi w:val="0"/>
              <w:spacing w:before="0" w:after="283"/>
              <w:jc w:val="left"/>
              <w:rPr>
                <w:sz w:val="4"/>
                <w:szCs w:val="4"/>
              </w:rPr>
            </w:pPr>
            <w:r>
              <w:rPr>
                <w:sz w:val="4"/>
                <w:szCs w:val="4"/>
              </w:rPr>
            </w:r>
          </w:p>
        </w:tc>
        <w:tc>
          <w:tcPr>
            <w:tcW w:w="9456" w:type="dxa"/>
            <w:gridSpan w:val="3"/>
            <w:tcBorders/>
            <w:vAlign w:val="center"/>
          </w:tcPr>
          <w:p>
            <w:pPr>
              <w:pStyle w:val="TableContents"/>
              <w:bidi w:val="0"/>
              <w:spacing w:before="0" w:after="283"/>
              <w:jc w:val="left"/>
              <w:rPr>
                <w:sz w:val="4"/>
                <w:szCs w:val="4"/>
              </w:rPr>
            </w:pPr>
            <w:r>
              <w:rPr>
                <w:sz w:val="4"/>
                <w:szCs w:val="4"/>
              </w:rPr>
            </w:r>
          </w:p>
        </w:tc>
      </w:tr>
      <w:tr>
        <w:trPr/>
        <w:tc>
          <w:tcPr>
            <w:tcW w:w="749" w:type="dxa"/>
            <w:gridSpan w:val="3"/>
            <w:tcBorders/>
            <w:vAlign w:val="center"/>
          </w:tcPr>
          <w:p>
            <w:pPr>
              <w:pStyle w:val="TableContents"/>
              <w:bidi w:val="0"/>
              <w:spacing w:before="0" w:after="283"/>
              <w:jc w:val="left"/>
              <w:rPr>
                <w:sz w:val="4"/>
                <w:szCs w:val="4"/>
              </w:rPr>
            </w:pPr>
            <w:r>
              <w:rPr>
                <w:sz w:val="4"/>
                <w:szCs w:val="4"/>
              </w:rPr>
            </w:r>
          </w:p>
        </w:tc>
        <w:tc>
          <w:tcPr>
            <w:tcW w:w="9456" w:type="dxa"/>
            <w:gridSpan w:val="3"/>
            <w:tcBorders/>
            <w:vAlign w:val="center"/>
          </w:tcPr>
          <w:p>
            <w:pPr>
              <w:pStyle w:val="TableContents"/>
              <w:bidi w:val="0"/>
              <w:spacing w:before="0" w:after="283"/>
              <w:jc w:val="left"/>
              <w:rPr>
                <w:sz w:val="4"/>
                <w:szCs w:val="4"/>
              </w:rPr>
            </w:pPr>
            <w:r>
              <w:rPr>
                <w:sz w:val="4"/>
                <w:szCs w:val="4"/>
              </w:rPr>
            </w:r>
          </w:p>
        </w:tc>
      </w:tr>
      <w:tr>
        <w:trPr/>
        <w:tc>
          <w:tcPr>
            <w:tcW w:w="749" w:type="dxa"/>
            <w:gridSpan w:val="3"/>
            <w:tcBorders/>
            <w:vAlign w:val="center"/>
          </w:tcPr>
          <w:p>
            <w:pPr>
              <w:pStyle w:val="TableContents"/>
              <w:bidi w:val="0"/>
              <w:spacing w:before="0" w:after="283"/>
              <w:jc w:val="left"/>
              <w:rPr>
                <w:sz w:val="4"/>
                <w:szCs w:val="4"/>
              </w:rPr>
            </w:pPr>
            <w:r>
              <w:rPr>
                <w:sz w:val="4"/>
                <w:szCs w:val="4"/>
              </w:rPr>
            </w:r>
          </w:p>
        </w:tc>
        <w:tc>
          <w:tcPr>
            <w:tcW w:w="9456" w:type="dxa"/>
            <w:gridSpan w:val="3"/>
            <w:tcBorders/>
            <w:vAlign w:val="center"/>
          </w:tcPr>
          <w:p>
            <w:pPr>
              <w:pStyle w:val="TableContents"/>
              <w:bidi w:val="0"/>
              <w:spacing w:before="0" w:after="283"/>
              <w:jc w:val="left"/>
              <w:rPr>
                <w:sz w:val="4"/>
                <w:szCs w:val="4"/>
              </w:rPr>
            </w:pPr>
            <w:r>
              <w:rPr>
                <w:sz w:val="4"/>
                <w:szCs w:val="4"/>
              </w:rPr>
            </w:r>
          </w:p>
        </w:tc>
      </w:tr>
      <w:tr>
        <w:trPr/>
        <w:tc>
          <w:tcPr>
            <w:tcW w:w="749" w:type="dxa"/>
            <w:gridSpan w:val="3"/>
            <w:tcBorders/>
            <w:vAlign w:val="center"/>
          </w:tcPr>
          <w:p>
            <w:pPr>
              <w:pStyle w:val="TableContents"/>
              <w:bidi w:val="0"/>
              <w:spacing w:before="0" w:after="283"/>
              <w:jc w:val="left"/>
              <w:rPr>
                <w:sz w:val="4"/>
                <w:szCs w:val="4"/>
              </w:rPr>
            </w:pPr>
            <w:r>
              <w:rPr>
                <w:sz w:val="4"/>
                <w:szCs w:val="4"/>
              </w:rPr>
            </w:r>
          </w:p>
        </w:tc>
        <w:tc>
          <w:tcPr>
            <w:tcW w:w="9456" w:type="dxa"/>
            <w:gridSpan w:val="3"/>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Second Restatement of the Restated and Amended Articles of Incorporation, as amended September 5, 2018, June 28, 2019 and September 4, 2019 (incorporated by reference to Exhibit 3.1 to Form 10-Q filed September 9, 2019)</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Eighth Amended and Restated Bylaws of Casey's General Stores, Inc. (incorporated by reference to Exhibit 3.1 to Form 8-K filed June 9, 2026)</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asy-ex311_2026731xq1.htm">
              <w:r>
                <w:rPr>
                  <w:rStyle w:val="InternetLink"/>
                  <w:rFonts w:ascii="Times New Roman;serif" w:hAnsi="Times New Roman;serif"/>
                  <w:b w:val="false"/>
                  <w:color w:val="0000FF"/>
                  <w:sz w:val="20"/>
                  <w:u w:val="single"/>
                </w:rPr>
                <w:t>Certification of Darren M. Rebelez under Section 302 of the Sarbanes Oxley Act of 2002</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asy-ex312_2026731xq1.htm">
              <w:r>
                <w:rPr>
                  <w:rStyle w:val="InternetLink"/>
                  <w:rFonts w:ascii="Times New Roman;serif" w:hAnsi="Times New Roman;serif"/>
                  <w:b w:val="false"/>
                  <w:color w:val="0000FF"/>
                  <w:sz w:val="20"/>
                  <w:u w:val="single"/>
                </w:rPr>
                <w:t>Certification of Stephen P. Bramlage Jr. under Section 302 of the Sarbanes Oxley Act of 2002</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asy-ex321_2026731xq1.htm">
              <w:r>
                <w:rPr>
                  <w:rStyle w:val="InternetLink"/>
                  <w:rFonts w:ascii="Times New Roman;serif" w:hAnsi="Times New Roman;serif"/>
                  <w:b w:val="false"/>
                  <w:color w:val="0000FF"/>
                  <w:sz w:val="20"/>
                  <w:u w:val="single"/>
                </w:rPr>
                <w:t>Certification of Darren M. Rebelez under Section 906 of Sarbanes-Oxley Act of 2002</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asy-ex322_2026731xq1.htm">
              <w:r>
                <w:rPr>
                  <w:rStyle w:val="InternetLink"/>
                  <w:rFonts w:ascii="Times New Roman;serif" w:hAnsi="Times New Roman;serif"/>
                  <w:b w:val="false"/>
                  <w:color w:val="0000FF"/>
                  <w:sz w:val="20"/>
                  <w:u w:val="single"/>
                </w:rPr>
                <w:t>Certification of Stephen P. Bramlage Jr. under Section 906 of Sarbanes-Oxley Act of 2002</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 DEF</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bl>
    <w:p>
      <w:pPr>
        <w:pStyle w:val="TextBody"/>
        <w:bidi w:val="0"/>
        <w:spacing w:lineRule="auto" w:line="288" w:before="120" w:after="283"/>
        <w:jc w:val="left"/>
        <w:rPr/>
      </w:pPr>
      <w:r>
        <w:rPr>
          <w:rFonts w:ascii="Times New Roman;serif" w:hAnsi="Times New Roman;serif"/>
          <w:b/>
          <w:color w:val="000000"/>
          <w:sz w:val="20"/>
        </w:rPr>
        <w:t xml:space="preserve">* </w:t>
      </w:r>
      <w:r>
        <w:rPr>
          <w:rFonts w:ascii="Times New Roman;serif" w:hAnsi="Times New Roman;serif"/>
          <w:b w:val="false"/>
          <w:color w:val="000000"/>
          <w:sz w:val="20"/>
        </w:rPr>
        <w:t>Filed herewith</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ind w:left="0" w:right="0" w:firstLine="540"/>
        <w:jc w:val="left"/>
        <w:rPr/>
      </w:pPr>
      <w:hyperlink w:anchor="i2e81585d558c40dfb6de5e9cd039788d_7">
        <w:r>
          <w:rPr>
            <w:rStyle w:val="InternetLink"/>
            <w:rFonts w:ascii="Times New Roman;serif" w:hAnsi="Times New Roman;serif"/>
            <w:b w:val="false"/>
            <w:color w:val="3051F2"/>
            <w:sz w:val="20"/>
            <w:u w:val="single"/>
          </w:rPr>
          <w:t>Table</w:t>
        </w:r>
      </w:hyperlink>
      <w:hyperlink w:anchor="i2e81585d558c40dfb6de5e9cd039788d_7">
        <w:r>
          <w:rPr>
            <w:rStyle w:val="InternetLink"/>
            <w:color w:val="3051F2"/>
            <w:u w:val="single"/>
          </w:rPr>
          <w:t xml:space="preserve"> </w:t>
        </w:r>
      </w:hyperlink>
      <w:hyperlink w:anchor="i2e81585d558c40dfb6de5e9cd039788d_7">
        <w:r>
          <w:rPr>
            <w:rStyle w:val="InternetLink"/>
            <w:rFonts w:ascii="Times New Roman;serif" w:hAnsi="Times New Roman;serif"/>
            <w:b w:val="false"/>
            <w:color w:val="3051F2"/>
            <w:sz w:val="20"/>
            <w:u w:val="single"/>
          </w:rPr>
          <w:t>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5682" w:type="dxa"/>
        <w:jc w:val="left"/>
        <w:tblInd w:w="0" w:type="dxa"/>
        <w:tblLayout w:type="fixed"/>
        <w:tblCellMar>
          <w:top w:w="28" w:type="dxa"/>
          <w:left w:w="28" w:type="dxa"/>
          <w:bottom w:w="28" w:type="dxa"/>
          <w:right w:w="28" w:type="dxa"/>
        </w:tblCellMar>
      </w:tblPr>
      <w:tblGrid>
        <w:gridCol w:w="764"/>
        <w:gridCol w:w="673"/>
        <w:gridCol w:w="677"/>
        <w:gridCol w:w="149"/>
        <w:gridCol w:w="149"/>
        <w:gridCol w:w="151"/>
        <w:gridCol w:w="911"/>
        <w:gridCol w:w="911"/>
        <w:gridCol w:w="1297"/>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CASEY’S GENERAL STORES,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P. Bramlage Jr.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P. Bramlage Jr.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Its:</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(Authorized Officer and Principal</w:t>
              <w:br/>
              <w:t>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Darren M. Rebelez</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under Section 302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Sarbanes 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Darren M. Rebelez, certify that: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Casey’s General Stores,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practices;</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801" w:type="dxa"/>
        <w:jc w:val="left"/>
        <w:tblInd w:w="0" w:type="dxa"/>
        <w:tblLayout w:type="fixed"/>
        <w:tblCellMar>
          <w:top w:w="28" w:type="dxa"/>
          <w:left w:w="28" w:type="dxa"/>
          <w:bottom w:w="28" w:type="dxa"/>
          <w:right w:w="28" w:type="dxa"/>
        </w:tblCellMar>
      </w:tblPr>
      <w:tblGrid>
        <w:gridCol w:w="803"/>
        <w:gridCol w:w="705"/>
        <w:gridCol w:w="712"/>
        <w:gridCol w:w="109"/>
        <w:gridCol w:w="109"/>
        <w:gridCol w:w="109"/>
        <w:gridCol w:w="950"/>
        <w:gridCol w:w="950"/>
        <w:gridCol w:w="1354"/>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Darren M. Rebelez</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Darren M. Rebelez</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Stephen P. Bramlage Jr.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under Section 302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Sarbanes 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Stephen P. Bramlage Jr., certify that: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Casey’s General Stores,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practices;</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841" w:type="dxa"/>
        <w:jc w:val="left"/>
        <w:tblInd w:w="0" w:type="dxa"/>
        <w:tblLayout w:type="fixed"/>
        <w:tblCellMar>
          <w:top w:w="28" w:type="dxa"/>
          <w:left w:w="28" w:type="dxa"/>
          <w:bottom w:w="28" w:type="dxa"/>
          <w:right w:w="28" w:type="dxa"/>
        </w:tblCellMar>
      </w:tblPr>
      <w:tblGrid>
        <w:gridCol w:w="803"/>
        <w:gridCol w:w="705"/>
        <w:gridCol w:w="712"/>
        <w:gridCol w:w="109"/>
        <w:gridCol w:w="109"/>
        <w:gridCol w:w="109"/>
        <w:gridCol w:w="670"/>
        <w:gridCol w:w="670"/>
        <w:gridCol w:w="954"/>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P. Bramlage Jr.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P. Bramlage Jr.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CERTIFICATE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Casey’s General Stores, Inc. (the “Company”) on Form 10-Q for the period ending July 31, 2026 as filed with the Securities and Exchange Commission on the date hereof (the “Report”), I, Darren M. Rebelez, Chief Executive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801" w:type="dxa"/>
        <w:jc w:val="left"/>
        <w:tblInd w:w="0" w:type="dxa"/>
        <w:tblLayout w:type="fixed"/>
        <w:tblCellMar>
          <w:top w:w="28" w:type="dxa"/>
          <w:left w:w="28" w:type="dxa"/>
          <w:bottom w:w="28" w:type="dxa"/>
          <w:right w:w="28" w:type="dxa"/>
        </w:tblCellMar>
      </w:tblPr>
      <w:tblGrid>
        <w:gridCol w:w="803"/>
        <w:gridCol w:w="705"/>
        <w:gridCol w:w="712"/>
        <w:gridCol w:w="109"/>
        <w:gridCol w:w="109"/>
        <w:gridCol w:w="109"/>
        <w:gridCol w:w="950"/>
        <w:gridCol w:w="950"/>
        <w:gridCol w:w="1354"/>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Darren M. Rebelez</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Darren M. Rebelez</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tc>
      </w:tr>
    </w:tbl>
    <w:p>
      <w:pPr>
        <w:pStyle w:val="TextBody"/>
        <w:bidi w:val="0"/>
        <w:spacing w:before="0" w:after="0"/>
        <w:jc w:val="lef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CERTIFICATE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Casey’s General Stores, Inc. (the “Company”) on Form 10-Q for the period ending July 31, 2026 as filed with the Securities and Exchange Commission on the date hereof (the “Report”), I, Stephen P. Bramlage Jr., Chief Financial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841" w:type="dxa"/>
        <w:jc w:val="left"/>
        <w:tblInd w:w="0" w:type="dxa"/>
        <w:tblLayout w:type="fixed"/>
        <w:tblCellMar>
          <w:top w:w="28" w:type="dxa"/>
          <w:left w:w="28" w:type="dxa"/>
          <w:bottom w:w="28" w:type="dxa"/>
          <w:right w:w="28" w:type="dxa"/>
        </w:tblCellMar>
      </w:tblPr>
      <w:tblGrid>
        <w:gridCol w:w="803"/>
        <w:gridCol w:w="705"/>
        <w:gridCol w:w="712"/>
        <w:gridCol w:w="109"/>
        <w:gridCol w:w="109"/>
        <w:gridCol w:w="109"/>
        <w:gridCol w:w="670"/>
        <w:gridCol w:w="670"/>
        <w:gridCol w:w="954"/>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P. Bramlage Jr.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P. Bramlage Jr.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26958/000072695819000111/secondamendedandrestat.htm" TargetMode="External"/><Relationship Id="rId3" Type="http://schemas.openxmlformats.org/officeDocument/2006/relationships/hyperlink" Target="https://www.sec.gov/Archives/edgar/data/726958/000072695826000033/ex31eighthamendedandrestat.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10991</Words>
  <Characters>61094</Characters>
  <CharactersWithSpaces>71510</CharactersWithSpaces>
  <Paragraphs>1008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