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6578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578600"/>
                    </a:xfrm>
                    <a:prstGeom prst="rect">
                      <a:avLst/>
                    </a:prstGeom>
                    <a:noFill/>
                  </pic:spPr>
                </pic:pic>
              </a:graphicData>
            </a:graphic>
          </wp:anchor>
        </w:drawing>
      </w:r>
    </w:p>
    <w:p>
      <w:pPr>
        <w:spacing w:after="0" w:line="1251" w:lineRule="exact"/>
        <w:rPr>
          <w:sz w:val="24"/>
          <w:szCs w:val="24"/>
          <w:color w:val="auto"/>
        </w:rPr>
      </w:pPr>
    </w:p>
    <w:p>
      <w:pPr>
        <w:sectPr>
          <w:pgSz w:w="11900" w:h="16899"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Bramlage Stephen P JR</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ONE SE CONVENIENCE BLVD.</w:t>
            </w:r>
          </w:p>
        </w:tc>
        <w:tc>
          <w:tcPr>
            <w:tcW w:w="124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ANKENY</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IA</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50021</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CASEYS GENERAL STORES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CASY</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4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2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115"/>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70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28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07" w:lineRule="exact"/>
        <w:rPr>
          <w:sz w:val="24"/>
          <w:szCs w:val="24"/>
          <w:color w:val="auto"/>
        </w:rPr>
      </w:pPr>
    </w:p>
    <w:p>
      <w:pPr>
        <w:sectPr>
          <w:pgSz w:w="11900" w:h="16899"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jc w:val="right"/>
              <w:ind w:right="260"/>
              <w:spacing w:after="0"/>
              <w:rPr>
                <w:sz w:val="20"/>
                <w:szCs w:val="20"/>
                <w:color w:val="auto"/>
              </w:rPr>
            </w:pPr>
            <w:r>
              <w:rPr>
                <w:rFonts w:ascii="Times New Roman" w:cs="Times New Roman" w:eastAsia="Times New Roman" w:hAnsi="Times New Roman"/>
                <w:sz w:val="17"/>
                <w:szCs w:val="17"/>
                <w:color w:val="0000FF"/>
              </w:rPr>
              <w:t>25,794</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Voting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tender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ind w:right="280"/>
              <w:spacing w:after="0" w:line="209" w:lineRule="exact"/>
              <w:rPr>
                <w:sz w:val="20"/>
                <w:szCs w:val="20"/>
                <w:color w:val="auto"/>
              </w:rPr>
            </w:pPr>
            <w:r>
              <w:rPr>
                <w:rFonts w:ascii="Times New Roman" w:cs="Times New Roman" w:eastAsia="Times New Roman" w:hAnsi="Times New Roman"/>
                <w:sz w:val="24"/>
                <w:szCs w:val="24"/>
                <w:color w:val="0000FF"/>
                <w:vertAlign w:val="subscript"/>
              </w:rPr>
              <w:t>406</w:t>
            </w:r>
            <w:r>
              <w:rPr>
                <w:rFonts w:ascii="Times New Roman" w:cs="Times New Roman" w:eastAsia="Times New Roman" w:hAnsi="Times New Roman"/>
                <w:sz w:val="9"/>
                <w:szCs w:val="9"/>
                <w:color w:val="008000"/>
              </w:rPr>
              <w:t>(1)</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rights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under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06/03/2026</w:t>
            </w:r>
          </w:p>
        </w:tc>
        <w:tc>
          <w:tcPr>
            <w:tcW w:w="118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color w:val="0000FF"/>
              </w:rPr>
              <w:t>835</w:t>
            </w: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rPr>
              <w:t>835</w:t>
            </w:r>
          </w:p>
        </w:tc>
        <w:tc>
          <w:tcPr>
            <w:tcW w:w="620" w:type="dxa"/>
            <w:vAlign w:val="bottom"/>
            <w:vMerge w:val="restart"/>
          </w:tcPr>
          <w:p>
            <w:pPr>
              <w:jc w:val="right"/>
              <w:ind w:right="24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835</w:t>
            </w: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w w:val="99"/>
              </w:rPr>
              <w:t>1,476</w:t>
            </w:r>
          </w:p>
        </w:tc>
        <w:tc>
          <w:tcPr>
            <w:tcW w:w="6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1,476</w:t>
            </w: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rPr>
              <w:t>974</w:t>
            </w:r>
          </w:p>
        </w:tc>
        <w:tc>
          <w:tcPr>
            <w:tcW w:w="6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974</w:t>
            </w: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rPr>
              <w:t>676</w:t>
            </w:r>
          </w:p>
        </w:tc>
        <w:tc>
          <w:tcPr>
            <w:tcW w:w="6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676</w:t>
            </w: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Allocated to 401k plan account as of April 30, 2026. Does not include any shares allocated by the plan trustee after that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following vesting, one share of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42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This award will vest in equal installments on June 15, 2026,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32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The remainder of this award will vest in equal installments on June 15, 2026, and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2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2018 Stock Incentive Plan. The remainder of this award will vest on June 15, 2026. Not included in the reported award amount is a target amount of performance-based restricted stock units that will vest on June 15, 2026,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Erika Bertrand, under Power of 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888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 dated December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268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ectPr>
          <w:pgSz w:w="11900" w:h="16899"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215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5265" cy="8255"/>
                    </a:xfrm>
                    <a:prstGeom prst="rect">
                      <a:avLst/>
                    </a:prstGeom>
                    <a:noFill/>
                  </pic:spPr>
                </pic:pic>
              </a:graphicData>
            </a:graphic>
          </wp:anchor>
        </w:drawing>
      </w:r>
    </w:p>
    <w:p>
      <w:pPr>
        <w:spacing w:after="0" w:line="4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51683"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2026-06-05T16:38:53Z</dcterms:created>
  <dcterms:modified xsi:type="dcterms:W3CDTF">2026-06-05T16:38:53Z</dcterms:modified>
</cp:coreProperties>
</file>