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60"/>
            <w:col w:w="8520"/>
          </w:cols>
          <w:pgMar w:left="460" w:top="222" w:right="37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Johnson Brian Joseph</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420" w:type="dxa"/>
            <w:vAlign w:val="bottom"/>
          </w:tcPr>
          <w:p>
            <w:pPr>
              <w:ind w:left="240"/>
              <w:spacing w:after="0"/>
              <w:rPr>
                <w:sz w:val="20"/>
                <w:szCs w:val="20"/>
                <w:color w:val="auto"/>
              </w:rPr>
            </w:pPr>
            <w:r>
              <w:rPr>
                <w:rFonts w:ascii="Arial" w:cs="Arial" w:eastAsia="Arial" w:hAnsi="Arial"/>
                <w:sz w:val="13"/>
                <w:szCs w:val="13"/>
                <w:color w:val="auto"/>
              </w:rPr>
              <w:t>(First)</w:t>
            </w:r>
          </w:p>
        </w:tc>
        <w:tc>
          <w:tcPr>
            <w:tcW w:w="1240" w:type="dxa"/>
            <w:vAlign w:val="bottom"/>
          </w:tcPr>
          <w:p>
            <w:pPr>
              <w:ind w:left="4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17"/>
                <w:szCs w:val="17"/>
                <w:color w:val="0000FF"/>
                <w:w w:val="96"/>
              </w:rPr>
              <w:t>ONE SE CONVENIENCE BLVD.</w:t>
            </w:r>
          </w:p>
        </w:tc>
        <w:tc>
          <w:tcPr>
            <w:tcW w:w="124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r>
      <w:tr>
        <w:trPr>
          <w:trHeight w:val="25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ANKENY</w:t>
            </w:r>
          </w:p>
        </w:tc>
        <w:tc>
          <w:tcPr>
            <w:tcW w:w="1420" w:type="dxa"/>
            <w:vAlign w:val="bottom"/>
          </w:tcPr>
          <w:p>
            <w:pPr>
              <w:ind w:left="240"/>
              <w:spacing w:after="0"/>
              <w:rPr>
                <w:sz w:val="20"/>
                <w:szCs w:val="20"/>
                <w:color w:val="auto"/>
              </w:rPr>
            </w:pPr>
            <w:r>
              <w:rPr>
                <w:rFonts w:ascii="Arial" w:cs="Arial" w:eastAsia="Arial" w:hAnsi="Arial"/>
                <w:sz w:val="17"/>
                <w:szCs w:val="17"/>
                <w:color w:val="0000FF"/>
              </w:rPr>
              <w:t>IA</w:t>
            </w:r>
          </w:p>
        </w:tc>
        <w:tc>
          <w:tcPr>
            <w:tcW w:w="1240" w:type="dxa"/>
            <w:vAlign w:val="bottom"/>
          </w:tcPr>
          <w:p>
            <w:pPr>
              <w:ind w:left="40"/>
              <w:spacing w:after="0"/>
              <w:rPr>
                <w:sz w:val="20"/>
                <w:szCs w:val="20"/>
                <w:color w:val="auto"/>
              </w:rPr>
            </w:pPr>
            <w:r>
              <w:rPr>
                <w:rFonts w:ascii="Arial" w:cs="Arial" w:eastAsia="Arial" w:hAnsi="Arial"/>
                <w:sz w:val="17"/>
                <w:szCs w:val="17"/>
                <w:color w:val="0000FF"/>
              </w:rPr>
              <w:t>50021</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420" w:type="dxa"/>
            <w:vAlign w:val="bottom"/>
          </w:tcPr>
          <w:p>
            <w:pPr>
              <w:ind w:left="240"/>
              <w:spacing w:after="0"/>
              <w:rPr>
                <w:sz w:val="20"/>
                <w:szCs w:val="20"/>
                <w:color w:val="auto"/>
              </w:rPr>
            </w:pPr>
            <w:r>
              <w:rPr>
                <w:rFonts w:ascii="Arial" w:cs="Arial" w:eastAsia="Arial" w:hAnsi="Arial"/>
                <w:sz w:val="13"/>
                <w:szCs w:val="13"/>
                <w:color w:val="auto"/>
              </w:rPr>
              <w:t>(State)</w:t>
            </w:r>
          </w:p>
        </w:tc>
        <w:tc>
          <w:tcPr>
            <w:tcW w:w="1240" w:type="dxa"/>
            <w:vAlign w:val="bottom"/>
          </w:tcPr>
          <w:p>
            <w:pPr>
              <w:ind w:left="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60"/>
              <w:spacing w:after="0"/>
              <w:rPr>
                <w:sz w:val="20"/>
                <w:szCs w:val="20"/>
                <w:color w:val="auto"/>
              </w:rPr>
            </w:pPr>
            <w:r>
              <w:rPr>
                <w:rFonts w:ascii="Arial" w:cs="Arial" w:eastAsia="Arial" w:hAnsi="Arial"/>
                <w:sz w:val="13"/>
                <w:szCs w:val="13"/>
                <w:color w:val="auto"/>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2"/>
          </w:tcPr>
          <w:p>
            <w:pPr>
              <w:ind w:left="60"/>
              <w:spacing w:after="0" w:line="204"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CASEYS GENERAL STORES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6"/>
                <w:szCs w:val="16"/>
                <w:color w:val="0000FF"/>
                <w:w w:val="97"/>
              </w:rPr>
              <w:t>CASY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60"/>
              <w:spacing w:after="0"/>
              <w:rPr>
                <w:sz w:val="20"/>
                <w:szCs w:val="20"/>
                <w:color w:val="auto"/>
              </w:rPr>
            </w:pPr>
            <w:r>
              <w:rPr>
                <w:rFonts w:ascii="Arial" w:cs="Arial" w:eastAsia="Arial" w:hAnsi="Arial"/>
                <w:sz w:val="21"/>
                <w:szCs w:val="21"/>
                <w:color w:val="auto"/>
              </w:rPr>
              <w:t>]</w:t>
            </w:r>
          </w:p>
        </w:tc>
        <w:tc>
          <w:tcPr>
            <w:tcW w:w="3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vMerge w:val="restart"/>
          </w:tcPr>
          <w:p>
            <w:pPr>
              <w:ind w:left="24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440"/>
              <w:spacing w:after="0"/>
              <w:rPr>
                <w:sz w:val="20"/>
                <w:szCs w:val="20"/>
                <w:color w:val="auto"/>
              </w:rPr>
            </w:pPr>
            <w:r>
              <w:rPr>
                <w:rFonts w:ascii="Arial" w:cs="Arial" w:eastAsia="Arial" w:hAnsi="Arial"/>
                <w:sz w:val="17"/>
                <w:szCs w:val="17"/>
                <w:color w:val="0000FF"/>
              </w:rPr>
              <w:t>SVP, IR &amp; Bus. Dev.</w:t>
            </w:r>
          </w:p>
        </w:tc>
        <w:tc>
          <w:tcPr>
            <w:tcW w:w="0" w:type="dxa"/>
            <w:vAlign w:val="bottom"/>
          </w:tcPr>
          <w:p>
            <w:pPr>
              <w:spacing w:after="0"/>
              <w:rPr>
                <w:sz w:val="1"/>
                <w:szCs w:val="1"/>
                <w:color w:val="auto"/>
              </w:rPr>
            </w:pPr>
          </w:p>
        </w:tc>
      </w:tr>
      <w:tr>
        <w:trPr>
          <w:trHeight w:val="111"/>
        </w:trPr>
        <w:tc>
          <w:tcPr>
            <w:tcW w:w="3840" w:type="dxa"/>
            <w:vAlign w:val="bottom"/>
            <w:gridSpan w:val="2"/>
            <w:vMerge w:val="restart"/>
          </w:tcPr>
          <w:p>
            <w:pPr>
              <w:ind w:left="60"/>
              <w:spacing w:after="0"/>
              <w:rPr>
                <w:sz w:val="20"/>
                <w:szCs w:val="20"/>
                <w:color w:val="auto"/>
              </w:rPr>
            </w:pPr>
            <w:r>
              <w:rPr>
                <w:rFonts w:ascii="Arial" w:cs="Arial" w:eastAsia="Arial" w:hAnsi="Arial"/>
                <w:sz w:val="17"/>
                <w:szCs w:val="17"/>
                <w:color w:val="0000FF"/>
              </w:rPr>
              <w:t>06/02/2020</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60"/>
              <w:spacing w:after="0"/>
              <w:rPr>
                <w:sz w:val="20"/>
                <w:szCs w:val="20"/>
                <w:color w:val="auto"/>
              </w:rPr>
            </w:pPr>
            <w:r>
              <w:rPr>
                <w:rFonts w:ascii="Arial" w:cs="Arial" w:eastAsia="Arial" w:hAnsi="Arial"/>
                <w:sz w:val="13"/>
                <w:szCs w:val="13"/>
                <w:color w:val="auto"/>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153670</wp:posOffset>
            </wp:positionV>
            <wp:extent cx="696722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2107565"/>
                    </a:xfrm>
                    <a:prstGeom prst="rect">
                      <a:avLst/>
                    </a:prstGeom>
                    <a:noFill/>
                  </pic:spPr>
                </pic:pic>
              </a:graphicData>
            </a:graphic>
          </wp:anchor>
        </w:drawing>
      </w:r>
    </w:p>
    <w:p>
      <w:pPr>
        <w:spacing w:after="0" w:line="302" w:lineRule="exact"/>
        <w:rPr>
          <w:sz w:val="24"/>
          <w:szCs w:val="24"/>
          <w:color w:val="auto"/>
        </w:rPr>
      </w:pPr>
    </w:p>
    <w:p>
      <w:pPr>
        <w:sectPr>
          <w:pgSz w:w="11900" w:h="16838" w:orient="portrait"/>
          <w:cols w:equalWidth="0" w:num="2">
            <w:col w:w="3760" w:space="80"/>
            <w:col w:w="7220"/>
          </w:cols>
          <w:pgMar w:left="460" w:top="222" w:right="379" w:bottom="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20" w:type="dxa"/>
            <w:vAlign w:val="bottom"/>
          </w:tcPr>
          <w:p>
            <w:pPr>
              <w:jc w:val="right"/>
              <w:ind w:right="256"/>
              <w:spacing w:after="0"/>
              <w:rPr>
                <w:sz w:val="20"/>
                <w:szCs w:val="20"/>
                <w:color w:val="auto"/>
              </w:rPr>
            </w:pPr>
            <w:r>
              <w:rPr>
                <w:rFonts w:ascii="Arial" w:cs="Arial" w:eastAsia="Arial" w:hAnsi="Arial"/>
                <w:sz w:val="17"/>
                <w:szCs w:val="17"/>
                <w:color w:val="0000FF"/>
              </w:rPr>
              <w:t>10,817</w:t>
            </w:r>
          </w:p>
        </w:tc>
        <w:tc>
          <w:tcPr>
            <w:tcW w:w="94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5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Voting</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tender</w:t>
            </w:r>
          </w:p>
        </w:tc>
        <w:tc>
          <w:tcPr>
            <w:tcW w:w="0" w:type="dxa"/>
            <w:vAlign w:val="bottom"/>
          </w:tcPr>
          <w:p>
            <w:pPr>
              <w:spacing w:after="0"/>
              <w:rPr>
                <w:sz w:val="1"/>
                <w:szCs w:val="1"/>
                <w:color w:val="auto"/>
              </w:rPr>
            </w:pPr>
          </w:p>
        </w:tc>
      </w:tr>
      <w:tr>
        <w:trPr>
          <w:trHeight w:val="208"/>
        </w:trPr>
        <w:tc>
          <w:tcPr>
            <w:tcW w:w="25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jc w:val="center"/>
              <w:ind w:right="216"/>
              <w:spacing w:after="0" w:line="208" w:lineRule="exact"/>
              <w:rPr>
                <w:sz w:val="20"/>
                <w:szCs w:val="20"/>
                <w:color w:val="auto"/>
              </w:rPr>
            </w:pPr>
            <w:r>
              <w:rPr>
                <w:rFonts w:ascii="Arial" w:cs="Arial" w:eastAsia="Arial" w:hAnsi="Arial"/>
                <w:sz w:val="17"/>
                <w:szCs w:val="17"/>
                <w:color w:val="0000FF"/>
              </w:rPr>
              <w:t>2,475</w:t>
            </w:r>
            <w:r>
              <w:rPr>
                <w:rFonts w:ascii="Arial" w:cs="Arial" w:eastAsia="Arial" w:hAnsi="Arial"/>
                <w:sz w:val="21"/>
                <w:szCs w:val="21"/>
                <w:color w:val="008000"/>
                <w:vertAlign w:val="superscript"/>
              </w:rPr>
              <w:t>(1)</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780" w:type="dxa"/>
            <w:vAlign w:val="bottom"/>
          </w:tcPr>
          <w:p>
            <w:pPr>
              <w:ind w:left="80"/>
              <w:spacing w:after="0"/>
              <w:rPr>
                <w:sz w:val="20"/>
                <w:szCs w:val="20"/>
                <w:color w:val="auto"/>
              </w:rPr>
            </w:pPr>
            <w:r>
              <w:rPr>
                <w:rFonts w:ascii="Arial" w:cs="Arial" w:eastAsia="Arial" w:hAnsi="Arial"/>
                <w:sz w:val="17"/>
                <w:szCs w:val="17"/>
                <w:color w:val="0000FF"/>
              </w:rPr>
              <w:t>rights</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7"/>
                <w:szCs w:val="17"/>
                <w:color w:val="0000FF"/>
              </w:rPr>
              <w:t>under</w:t>
            </w:r>
          </w:p>
        </w:tc>
        <w:tc>
          <w:tcPr>
            <w:tcW w:w="0" w:type="dxa"/>
            <w:vAlign w:val="bottom"/>
          </w:tcPr>
          <w:p>
            <w:pPr>
              <w:spacing w:after="0"/>
              <w:rPr>
                <w:sz w:val="1"/>
                <w:szCs w:val="1"/>
                <w:color w:val="auto"/>
              </w:rPr>
            </w:pPr>
          </w:p>
        </w:tc>
      </w:tr>
    </w:tbl>
    <w:p>
      <w:pPr>
        <w:ind w:left="10260"/>
        <w:spacing w:after="0"/>
        <w:rPr>
          <w:sz w:val="20"/>
          <w:szCs w:val="20"/>
          <w:color w:val="auto"/>
        </w:rPr>
      </w:pPr>
      <w:r>
        <w:rPr>
          <w:rFonts w:ascii="Arial" w:cs="Arial" w:eastAsia="Arial" w:hAnsi="Arial"/>
          <w:sz w:val="17"/>
          <w:szCs w:val="17"/>
          <w:color w:val="0000FF"/>
        </w:rPr>
        <w:t>401k</w:t>
      </w:r>
    </w:p>
    <w:p>
      <w:pPr>
        <w:spacing w:after="0" w:line="13" w:lineRule="exact"/>
        <w:rPr>
          <w:sz w:val="24"/>
          <w:szCs w:val="24"/>
          <w:color w:val="auto"/>
        </w:rPr>
      </w:pPr>
    </w:p>
    <w:p>
      <w:pPr>
        <w:ind w:left="10260"/>
        <w:spacing w:after="0"/>
        <w:rPr>
          <w:sz w:val="20"/>
          <w:szCs w:val="20"/>
          <w:color w:val="auto"/>
        </w:rPr>
      </w:pPr>
      <w:r>
        <w:rPr>
          <w:rFonts w:ascii="Arial" w:cs="Arial" w:eastAsia="Arial" w:hAnsi="Arial"/>
          <w:sz w:val="17"/>
          <w:szCs w:val="17"/>
          <w:color w:val="0000FF"/>
        </w:rPr>
        <w:t>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59055</wp:posOffset>
            </wp:positionV>
            <wp:extent cx="7033260" cy="3611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611880"/>
                    </a:xfrm>
                    <a:prstGeom prst="rect">
                      <a:avLst/>
                    </a:prstGeom>
                    <a:noFill/>
                  </pic:spPr>
                </pic:pic>
              </a:graphicData>
            </a:graphic>
          </wp:anchor>
        </w:drawing>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824</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right"/>
              <w:ind w:right="200"/>
              <w:spacing w:after="0" w:line="139" w:lineRule="exact"/>
              <w:rPr>
                <w:sz w:val="20"/>
                <w:szCs w:val="20"/>
                <w:color w:val="auto"/>
              </w:rPr>
            </w:pPr>
            <w:r>
              <w:rPr>
                <w:rFonts w:ascii="Arial" w:cs="Arial" w:eastAsia="Arial" w:hAnsi="Arial"/>
                <w:sz w:val="13"/>
                <w:szCs w:val="13"/>
                <w:color w:val="0000FF"/>
              </w:rPr>
              <w:t>06/02/2020</w:t>
            </w:r>
          </w:p>
        </w:tc>
        <w:tc>
          <w:tcPr>
            <w:tcW w:w="1080" w:type="dxa"/>
            <w:vAlign w:val="bottom"/>
          </w:tcPr>
          <w:p>
            <w:pPr>
              <w:spacing w:after="0"/>
              <w:rPr>
                <w:sz w:val="6"/>
                <w:szCs w:val="6"/>
                <w:color w:val="auto"/>
              </w:rPr>
            </w:pPr>
          </w:p>
        </w:tc>
        <w:tc>
          <w:tcPr>
            <w:tcW w:w="820" w:type="dxa"/>
            <w:vAlign w:val="bottom"/>
            <w:vMerge w:val="restart"/>
          </w:tcPr>
          <w:p>
            <w:pPr>
              <w:ind w:left="18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rPr>
              <w:t>824</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824</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1,141</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1,141</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1,238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1,238</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4"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919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919</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3,000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780" w:type="dxa"/>
            <w:vAlign w:val="bottom"/>
            <w:vMerge w:val="restart"/>
          </w:tcPr>
          <w:p>
            <w:pPr>
              <w:jc w:val="center"/>
              <w:spacing w:after="0" w:line="139" w:lineRule="exact"/>
              <w:rPr>
                <w:sz w:val="20"/>
                <w:szCs w:val="20"/>
                <w:color w:val="auto"/>
              </w:rPr>
            </w:pPr>
            <w:r>
              <w:rPr>
                <w:rFonts w:ascii="Arial" w:cs="Arial" w:eastAsia="Arial" w:hAnsi="Arial"/>
                <w:sz w:val="12"/>
                <w:szCs w:val="12"/>
                <w:color w:val="auto"/>
                <w:w w:val="86"/>
              </w:rPr>
              <w:t>$</w:t>
            </w:r>
            <w:r>
              <w:rPr>
                <w:rFonts w:ascii="Arial" w:cs="Arial" w:eastAsia="Arial" w:hAnsi="Arial"/>
                <w:sz w:val="13"/>
                <w:szCs w:val="13"/>
                <w:color w:val="0000FF"/>
                <w:w w:val="86"/>
              </w:rPr>
              <w:t>44.39</w:t>
            </w: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06/23/2014</w:t>
            </w:r>
          </w:p>
        </w:tc>
        <w:tc>
          <w:tcPr>
            <w:tcW w:w="7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89"/>
              </w:rPr>
              <w:t>06/23/2021</w:t>
            </w: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3,000</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(7)</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Allocated to Mr. Johnson's 401k plan account as of April 30, 2020. Does not include any shares allocated by the plan trustee after that date.</w:t>
      </w:r>
    </w:p>
    <w:p>
      <w:pPr>
        <w:spacing w:after="0" w:line="45" w:lineRule="exact"/>
        <w:rPr>
          <w:rFonts w:ascii="Arial" w:cs="Arial" w:eastAsia="Arial" w:hAnsi="Arial"/>
          <w:sz w:val="13"/>
          <w:szCs w:val="13"/>
          <w:color w:val="008000"/>
        </w:rPr>
      </w:pPr>
    </w:p>
    <w:p>
      <w:pPr>
        <w:jc w:val="both"/>
        <w:ind w:left="40" w:right="1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equal installments on June 15, 2021, June 15, 2022 and June 15, 2023.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2020. Not included in the reported award amount is a target amount of performance-based restricted stock units that will vest on June 15, 2020,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 This award will vest in full on June 15, 2021. Not included in the reported award amount is a target amount of performance-based restricted stock units that will vest on June 15, 2021,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2009 Stock Incentive Plan.</w:t>
      </w:r>
    </w:p>
    <w:p>
      <w:pPr>
        <w:sectPr>
          <w:pgSz w:w="11900" w:h="16838" w:orient="portrait"/>
          <w:cols w:equalWidth="0" w:num="1">
            <w:col w:w="11060"/>
          </w:cols>
          <w:pgMar w:left="460" w:top="222" w:right="379" w:bottom="0" w:gutter="0" w:footer="0" w:header="0"/>
          <w:type w:val="continuous"/>
        </w:sectPr>
      </w:pP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60"/>
          </w:cols>
          <w:pgMar w:left="460" w:top="222" w:right="37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Scott Faber, under Power of</w:t>
            </w:r>
          </w:p>
        </w:tc>
        <w:tc>
          <w:tcPr>
            <w:tcW w:w="780" w:type="dxa"/>
            <w:vAlign w:val="bottom"/>
          </w:tcPr>
          <w:p>
            <w:pPr>
              <w:spacing w:after="0"/>
              <w:rPr>
                <w:sz w:val="20"/>
                <w:szCs w:val="20"/>
                <w:color w:val="auto"/>
              </w:rPr>
            </w:pPr>
            <w:r>
              <w:rPr>
                <w:rFonts w:ascii="Arial" w:cs="Arial" w:eastAsia="Arial" w:hAnsi="Arial"/>
                <w:sz w:val="17"/>
                <w:szCs w:val="17"/>
                <w:color w:val="0000FF"/>
                <w:w w:val="89"/>
              </w:rPr>
              <w:t>06/04/2020</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88"/>
        </w:trPr>
        <w:tc>
          <w:tcPr>
            <w:tcW w:w="20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color w:val="0000FF"/>
                <w:w w:val="91"/>
              </w:rPr>
              <w:t>Attorney dated March 3, 2017</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39" w:firstLine="3"/>
        <w:spacing w:after="0" w:line="311" w:lineRule="auto"/>
        <w:tabs>
          <w:tab w:leader="none" w:pos="13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76639"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2020-06-04T18:32:26Z</dcterms:created>
  <dcterms:modified xsi:type="dcterms:W3CDTF">2020-06-04T18:32:26Z</dcterms:modified>
</cp:coreProperties>
</file>