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6578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78600"/>
                    </a:xfrm>
                    <a:prstGeom prst="rect">
                      <a:avLst/>
                    </a:prstGeom>
                    <a:noFill/>
                  </pic:spPr>
                </pic:pic>
              </a:graphicData>
            </a:graphic>
          </wp:anchor>
        </w:drawing>
      </w:r>
    </w:p>
    <w:p>
      <w:pPr>
        <w:spacing w:after="0" w:line="1251" w:lineRule="exact"/>
        <w:rPr>
          <w:sz w:val="24"/>
          <w:szCs w:val="24"/>
          <w:color w:val="auto"/>
        </w:rPr>
      </w:pPr>
    </w:p>
    <w:p>
      <w:pPr>
        <w:sectPr>
          <w:pgSz w:w="11900" w:h="16899" w:orient="portrait"/>
          <w:cols w:equalWidth="0" w:num="2">
            <w:col w:w="2320" w:space="220"/>
            <w:col w:w="854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Brennan Thomas P JR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ANKENY</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CASEYS GENERAL STORES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CASY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4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7"/>
                <w:szCs w:val="17"/>
                <w:color w:val="0000FF"/>
              </w:rPr>
              <w:t>Chief Merch. Officer</w:t>
            </w:r>
          </w:p>
        </w:tc>
        <w:tc>
          <w:tcPr>
            <w:tcW w:w="0" w:type="dxa"/>
            <w:vAlign w:val="bottom"/>
          </w:tcPr>
          <w:p>
            <w:pPr>
              <w:spacing w:after="0"/>
              <w:rPr>
                <w:sz w:val="1"/>
                <w:szCs w:val="1"/>
                <w:color w:val="auto"/>
              </w:rPr>
            </w:pPr>
          </w:p>
        </w:tc>
      </w:tr>
      <w:tr>
        <w:trPr>
          <w:trHeight w:val="115"/>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70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14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99"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8,334</w:t>
            </w:r>
          </w:p>
        </w:tc>
        <w:tc>
          <w:tcPr>
            <w:tcW w:w="94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Voting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ind w:left="400"/>
              <w:spacing w:after="0" w:line="209" w:lineRule="exact"/>
              <w:rPr>
                <w:sz w:val="20"/>
                <w:szCs w:val="20"/>
                <w:color w:val="auto"/>
              </w:rPr>
            </w:pPr>
            <w:r>
              <w:rPr>
                <w:rFonts w:ascii="Times New Roman" w:cs="Times New Roman" w:eastAsia="Times New Roman" w:hAnsi="Times New Roman"/>
                <w:sz w:val="24"/>
                <w:szCs w:val="24"/>
                <w:color w:val="0000FF"/>
                <w:vertAlign w:val="subscript"/>
              </w:rPr>
              <w:t>402</w:t>
            </w:r>
            <w:r>
              <w:rPr>
                <w:rFonts w:ascii="Times New Roman" w:cs="Times New Roman" w:eastAsia="Times New Roman" w:hAnsi="Times New Roman"/>
                <w:sz w:val="9"/>
                <w:szCs w:val="9"/>
                <w:color w:val="008000"/>
              </w:rPr>
              <w:t>(1)</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under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06/03/2026</w:t>
            </w:r>
          </w:p>
        </w:tc>
        <w:tc>
          <w:tcPr>
            <w:tcW w:w="118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color w:val="0000FF"/>
              </w:rPr>
              <w:t>737</w:t>
            </w: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737</w:t>
            </w:r>
          </w:p>
        </w:tc>
        <w:tc>
          <w:tcPr>
            <w:tcW w:w="680" w:type="dxa"/>
            <w:vAlign w:val="bottom"/>
            <w:vMerge w:val="restart"/>
          </w:tcPr>
          <w:p>
            <w:pPr>
              <w:jc w:val="right"/>
              <w:ind w:right="26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737</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956</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956</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593</w:t>
            </w:r>
          </w:p>
        </w:tc>
        <w:tc>
          <w:tcPr>
            <w:tcW w:w="680" w:type="dxa"/>
            <w:vAlign w:val="bottom"/>
          </w:tcPr>
          <w:p>
            <w:pPr>
              <w:spacing w:after="0"/>
              <w:rPr>
                <w:sz w:val="15"/>
                <w:szCs w:val="15"/>
                <w:color w:val="auto"/>
              </w:rPr>
            </w:pPr>
          </w:p>
        </w:tc>
        <w:tc>
          <w:tcPr>
            <w:tcW w:w="88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593</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0000FF"/>
              </w:rPr>
              <w:t>411</w:t>
            </w:r>
          </w:p>
        </w:tc>
        <w:tc>
          <w:tcPr>
            <w:tcW w:w="680" w:type="dxa"/>
            <w:vAlign w:val="bottom"/>
          </w:tcPr>
          <w:p>
            <w:pPr>
              <w:spacing w:after="0"/>
              <w:rPr>
                <w:sz w:val="15"/>
                <w:szCs w:val="15"/>
                <w:color w:val="auto"/>
              </w:rPr>
            </w:pPr>
          </w:p>
        </w:tc>
        <w:tc>
          <w:tcPr>
            <w:tcW w:w="880" w:type="dxa"/>
            <w:vAlign w:val="bottom"/>
            <w:vMerge w:val="restart"/>
          </w:tcPr>
          <w:p>
            <w:pPr>
              <w:jc w:val="right"/>
              <w:ind w:right="295"/>
              <w:spacing w:after="0"/>
              <w:rPr>
                <w:sz w:val="20"/>
                <w:szCs w:val="20"/>
                <w:color w:val="auto"/>
              </w:rPr>
            </w:pPr>
            <w:r>
              <w:rPr>
                <w:rFonts w:ascii="Times New Roman" w:cs="Times New Roman" w:eastAsia="Times New Roman" w:hAnsi="Times New Roman"/>
                <w:sz w:val="13"/>
                <w:szCs w:val="13"/>
                <w:color w:val="0000FF"/>
              </w:rPr>
              <w:t>411</w:t>
            </w:r>
          </w:p>
        </w:tc>
        <w:tc>
          <w:tcPr>
            <w:tcW w:w="15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5"/>
        </w:trPr>
        <w:tc>
          <w:tcPr>
            <w:tcW w:w="8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62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Allocated to 401k plan account as of April 30, 2026. Does not include any shares allocated by the plan trustee after that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following vesting, one share of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jc w:val="both"/>
        <w:ind w:left="40" w:right="4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this award will vest in equal installments on June 15, 2026,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3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and conditions of the 2018 Stock Incentive Plan. The remainder of this award will vest in equal installments on June 15, 2026, and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rFonts w:ascii="Times New Roman" w:cs="Times New Roman" w:eastAsia="Times New Roman" w:hAnsi="Times New Roman"/>
          <w:sz w:val="13"/>
          <w:szCs w:val="13"/>
          <w:color w:val="008000"/>
        </w:rPr>
      </w:pPr>
    </w:p>
    <w:p>
      <w:pPr>
        <w:ind w:left="40" w:right="2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terms and conditions of 2018 Stock Incentive Plan. The remainder of this award will vest on June 15, 2026. Not included in the reported award amount is a target amount of performance-based restricted stock units that will vest on June 15, 2026,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Erika Bertrand, under Power of 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 dated December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272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ectPr>
          <w:pgSz w:w="11900" w:h="16899"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-8255</wp:posOffset>
            </wp:positionV>
            <wp:extent cx="215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265" cy="8255"/>
                    </a:xfrm>
                    <a:prstGeom prst="rect">
                      <a:avLst/>
                    </a:prstGeom>
                    <a:noFill/>
                  </pic:spPr>
                </pic:pic>
              </a:graphicData>
            </a:graphic>
          </wp:anchor>
        </w:drawing>
      </w:r>
    </w:p>
    <w:p>
      <w:pPr>
        <w:spacing w:after="0" w:line="4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1716"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2026-06-05T16:37:05Z</dcterms:created>
  <dcterms:modified xsi:type="dcterms:W3CDTF">2026-06-05T16:37:05Z</dcterms:modified>
</cp:coreProperties>
</file>