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Washington, D.C. 20549</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8"/>
        </w:rPr>
        <w:t>FORM 8-K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 2026</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CASEY'S GENERAL STORES,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6860" w:type="dxa"/>
        <w:jc w:val="center"/>
        <w:tblInd w:w="0" w:type="dxa"/>
        <w:tblLayout w:type="fixed"/>
        <w:tblCellMar>
          <w:top w:w="28" w:type="dxa"/>
          <w:left w:w="28" w:type="dxa"/>
          <w:bottom w:w="28" w:type="dxa"/>
          <w:right w:w="28" w:type="dxa"/>
        </w:tblCellMar>
      </w:tblPr>
      <w:tblGrid>
        <w:gridCol w:w="837"/>
        <w:gridCol w:w="736"/>
        <w:gridCol w:w="736"/>
        <w:gridCol w:w="387"/>
        <w:gridCol w:w="387"/>
        <w:gridCol w:w="387"/>
        <w:gridCol w:w="980"/>
        <w:gridCol w:w="980"/>
        <w:gridCol w:w="1430"/>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6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Iowa</w:t>
            </w:r>
          </w:p>
        </w:tc>
      </w:tr>
      <w:tr>
        <w:trPr/>
        <w:tc>
          <w:tcPr>
            <w:tcW w:w="6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001-34700</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42-0935283</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SE Convenience Blvd., Ankeny, Iowa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50021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515/965-6100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563" w:type="dxa"/>
        <w:jc w:val="center"/>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Item 2.02. </w:t>
      </w:r>
      <w:r>
        <w:rPr>
          <w:rFonts w:ascii="Times New Roman;serif" w:hAnsi="Times New Roman;serif"/>
          <w:b w:val="false"/>
          <w:color w:val="000000"/>
          <w:sz w:val="20"/>
          <w:u w:val="single"/>
        </w:rPr>
        <w:t>Results of Operations and Financial Condition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8, 2026, Casey's General Stores, Inc. (the "Company") issued a press release announcing its financial results for the first quarter ended July 31, 2026 (the "Press Release"). A copy of the Press Release is attached as Exhibit 99.1 and is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Item 5.07 </w:t>
      </w:r>
      <w:r>
        <w:rPr>
          <w:rFonts w:ascii="Times New Roman;serif" w:hAnsi="Times New Roman;serif"/>
          <w:b w:val="false"/>
          <w:color w:val="000000"/>
          <w:sz w:val="20"/>
          <w:u w:val="single"/>
        </w:rPr>
        <w:t>Submission of Matters to a Vote of Security Holders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 2026, the Company held its 2026 annual shareholders’ meeting (the “Meeting”). The matters voted upon, and results, were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Meeting, the following eleven director nominees were elected, by a majority vote, to serve until the next annual shareholders’ meeting and until their successors are elected and qualified (Proposal #1):</w:t>
      </w:r>
    </w:p>
    <w:p>
      <w:pPr>
        <w:pStyle w:val="TextBody"/>
        <w:bidi w:val="0"/>
        <w:spacing w:before="0" w:after="0"/>
        <w:jc w:val="left"/>
        <w:rPr/>
      </w:pPr>
      <w:r>
        <w:rPr/>
      </w:r>
    </w:p>
    <w:tbl>
      <w:tblPr>
        <w:tblW w:w="6932" w:type="dxa"/>
        <w:jc w:val="left"/>
        <w:tblInd w:w="0" w:type="dxa"/>
        <w:tblLayout w:type="fixed"/>
        <w:tblCellMar>
          <w:top w:w="28" w:type="dxa"/>
          <w:left w:w="28" w:type="dxa"/>
          <w:bottom w:w="28" w:type="dxa"/>
          <w:right w:w="28" w:type="dxa"/>
        </w:tblCellMar>
      </w:tblPr>
      <w:tblGrid>
        <w:gridCol w:w="711"/>
        <w:gridCol w:w="625"/>
        <w:gridCol w:w="629"/>
        <w:gridCol w:w="344"/>
        <w:gridCol w:w="344"/>
        <w:gridCol w:w="348"/>
        <w:gridCol w:w="310"/>
        <w:gridCol w:w="310"/>
        <w:gridCol w:w="311"/>
        <w:gridCol w:w="310"/>
        <w:gridCol w:w="310"/>
        <w:gridCol w:w="311"/>
        <w:gridCol w:w="605"/>
        <w:gridCol w:w="605"/>
        <w:gridCol w:w="85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NOMINEE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Sri Donthi</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28,332,404</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173,238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675,328</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Donald E. Frieson</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28,316,616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189,914</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674,440</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K. Lenhardt</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27,952,163</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554,413</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674,394</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Maria Castañón Moats</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28,283,552</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221,103</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676,315</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Darren M. Rebelez</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27,826,757</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675,337</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678,876</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Larree M. Renda</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28,073,112</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430,698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677,160</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Judy A. Schmeling</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28,205,178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300,828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674,964</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Spanos</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28,340,205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165,860</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674,905</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Stanley J. Sutula III</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29,070,616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67,455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42,899</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A. Trojan</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28,208,371</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297,495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675,104</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Allison M. Wing</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28,317,029</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188,239</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675,702</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Meeting, the vote to ratify the appointment of KPMG LLP as the independent registered public accounting firm of the Company for the fiscal year ending April 30, 2027, was as follows (Proposal #2):</w:t>
      </w:r>
    </w:p>
    <w:p>
      <w:pPr>
        <w:pStyle w:val="TextBody"/>
        <w:bidi w:val="0"/>
        <w:spacing w:before="0" w:after="0"/>
        <w:jc w:val="left"/>
        <w:rPr/>
      </w:pPr>
      <w:r>
        <w:rPr/>
      </w:r>
    </w:p>
    <w:tbl>
      <w:tblPr>
        <w:tblW w:w="4982" w:type="dxa"/>
        <w:jc w:val="left"/>
        <w:tblInd w:w="0" w:type="dxa"/>
        <w:tblLayout w:type="fixed"/>
        <w:tblCellMar>
          <w:top w:w="28" w:type="dxa"/>
          <w:left w:w="28" w:type="dxa"/>
          <w:bottom w:w="28" w:type="dxa"/>
          <w:right w:w="28" w:type="dxa"/>
        </w:tblCellMar>
      </w:tblPr>
      <w:tblGrid>
        <w:gridCol w:w="379"/>
        <w:gridCol w:w="334"/>
        <w:gridCol w:w="338"/>
        <w:gridCol w:w="310"/>
        <w:gridCol w:w="310"/>
        <w:gridCol w:w="311"/>
        <w:gridCol w:w="310"/>
        <w:gridCol w:w="310"/>
        <w:gridCol w:w="311"/>
        <w:gridCol w:w="605"/>
        <w:gridCol w:w="605"/>
        <w:gridCol w:w="85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31,287,745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943,042</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676,394</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Meeting, the advisory vote on named executive officer compensation was as follows (Proposal #3):</w:t>
      </w:r>
    </w:p>
    <w:p>
      <w:pPr>
        <w:pStyle w:val="TextBody"/>
        <w:bidi w:val="0"/>
        <w:spacing w:before="0" w:after="0"/>
        <w:jc w:val="left"/>
        <w:rPr/>
      </w:pPr>
      <w:r>
        <w:rPr/>
      </w:r>
    </w:p>
    <w:tbl>
      <w:tblPr>
        <w:tblW w:w="4982" w:type="dxa"/>
        <w:jc w:val="left"/>
        <w:tblInd w:w="0" w:type="dxa"/>
        <w:tblLayout w:type="fixed"/>
        <w:tblCellMar>
          <w:top w:w="28" w:type="dxa"/>
          <w:left w:w="28" w:type="dxa"/>
          <w:bottom w:w="28" w:type="dxa"/>
          <w:right w:w="28" w:type="dxa"/>
        </w:tblCellMar>
      </w:tblPr>
      <w:tblGrid>
        <w:gridCol w:w="379"/>
        <w:gridCol w:w="334"/>
        <w:gridCol w:w="338"/>
        <w:gridCol w:w="310"/>
        <w:gridCol w:w="310"/>
        <w:gridCol w:w="311"/>
        <w:gridCol w:w="310"/>
        <w:gridCol w:w="310"/>
        <w:gridCol w:w="311"/>
        <w:gridCol w:w="605"/>
        <w:gridCol w:w="605"/>
        <w:gridCol w:w="85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27,740,392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735,725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704,853</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the Meeting, the vote on the shareholder proposal regarding shareholder special meeting rights was as follows (Proposal #4):</w:t>
      </w:r>
    </w:p>
    <w:p>
      <w:pPr>
        <w:pStyle w:val="TextBody"/>
        <w:bidi w:val="0"/>
        <w:spacing w:before="0" w:after="0"/>
        <w:jc w:val="left"/>
        <w:rPr/>
      </w:pPr>
      <w:r>
        <w:rPr/>
      </w:r>
    </w:p>
    <w:tbl>
      <w:tblPr>
        <w:tblW w:w="5087" w:type="dxa"/>
        <w:jc w:val="left"/>
        <w:tblInd w:w="0" w:type="dxa"/>
        <w:tblLayout w:type="fixed"/>
        <w:tblCellMar>
          <w:top w:w="28" w:type="dxa"/>
          <w:left w:w="28" w:type="dxa"/>
          <w:bottom w:w="28" w:type="dxa"/>
          <w:right w:w="28" w:type="dxa"/>
        </w:tblCellMar>
      </w:tblPr>
      <w:tblGrid>
        <w:gridCol w:w="379"/>
        <w:gridCol w:w="334"/>
        <w:gridCol w:w="338"/>
        <w:gridCol w:w="344"/>
        <w:gridCol w:w="344"/>
        <w:gridCol w:w="348"/>
        <w:gridCol w:w="310"/>
        <w:gridCol w:w="310"/>
        <w:gridCol w:w="311"/>
        <w:gridCol w:w="605"/>
        <w:gridCol w:w="605"/>
        <w:gridCol w:w="85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11,445,252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17,633,598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102,120</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3,726,211</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Item 9.01. </w:t>
      </w:r>
      <w:r>
        <w:rPr>
          <w:rFonts w:ascii="Times New Roman;serif" w:hAnsi="Times New Roman;serif"/>
          <w:b w:val="false"/>
          <w:color w:val="000000"/>
          <w:sz w:val="20"/>
          <w:u w:val="single"/>
        </w:rPr>
        <w:t>Financial Statements and Exhibits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64" w:type="dxa"/>
        <w:jc w:val="left"/>
        <w:tblInd w:w="0" w:type="dxa"/>
        <w:tblLayout w:type="fixed"/>
        <w:tblCellMar>
          <w:top w:w="28" w:type="dxa"/>
          <w:left w:w="28" w:type="dxa"/>
          <w:bottom w:w="28" w:type="dxa"/>
          <w:right w:w="28" w:type="dxa"/>
        </w:tblCellMar>
      </w:tblPr>
      <w:tblGrid>
        <w:gridCol w:w="385"/>
        <w:gridCol w:w="338"/>
        <w:gridCol w:w="341"/>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fy2027earningspressrelea.htm">
              <w:r>
                <w:rPr>
                  <w:rStyle w:val="InternetLink"/>
                  <w:rFonts w:ascii="Times New Roman;serif" w:hAnsi="Times New Roman;serif"/>
                  <w:b w:val="false"/>
                  <w:color w:val="0000FF"/>
                  <w:sz w:val="20"/>
                  <w:u w:val="single"/>
                </w:rPr>
                <w:t>Press Release issued by Casey's General Stores, Inc. dated September 8,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13" w:type="dxa"/>
        <w:jc w:val="center"/>
        <w:tblInd w:w="0" w:type="dxa"/>
        <w:tblLayout w:type="fixed"/>
        <w:tblCellMar>
          <w:top w:w="28" w:type="dxa"/>
          <w:left w:w="28" w:type="dxa"/>
          <w:bottom w:w="28" w:type="dxa"/>
          <w:right w:w="28" w:type="dxa"/>
        </w:tblCellMar>
      </w:tblPr>
      <w:tblGrid>
        <w:gridCol w:w="803"/>
        <w:gridCol w:w="705"/>
        <w:gridCol w:w="712"/>
        <w:gridCol w:w="134"/>
        <w:gridCol w:w="134"/>
        <w:gridCol w:w="136"/>
        <w:gridCol w:w="902"/>
        <w:gridCol w:w="902"/>
        <w:gridCol w:w="1285"/>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CASEY'S GENERAL STORES,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Stephen P. Bramlage Jr.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Stephen P. Bramlage Jr.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hanging="2160"/>
        <w:jc w:val="left"/>
        <w:rPr/>
      </w:pPr>
      <w:r>
        <w:rPr/>
      </w:r>
    </w:p>
    <w:p>
      <w:pPr>
        <w:pStyle w:val="TextBody"/>
        <w:bidi w:val="0"/>
        <w:spacing w:before="0" w:after="0"/>
        <w:ind w:left="0" w:right="0" w:hanging="216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drawing>
          <wp:inline distT="0" distB="0" distL="0" distR="0">
            <wp:extent cx="8001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800100" cy="638175"/>
                    </a:xfrm>
                    <a:prstGeom prst="rect">
                      <a:avLst/>
                    </a:prstGeom>
                  </pic:spPr>
                </pic:pic>
              </a:graphicData>
            </a:graphic>
          </wp:inline>
        </w:drawing>
      </w:r>
    </w:p>
    <w:tbl>
      <w:tblPr>
        <w:tblW w:w="2729" w:type="dxa"/>
        <w:jc w:val="left"/>
        <w:tblInd w:w="0" w:type="dxa"/>
        <w:tblLayout w:type="fixed"/>
        <w:tblCellMar>
          <w:top w:w="28" w:type="dxa"/>
          <w:left w:w="28" w:type="dxa"/>
          <w:bottom w:w="28" w:type="dxa"/>
          <w:right w:w="28" w:type="dxa"/>
        </w:tblCellMar>
      </w:tblPr>
      <w:tblGrid>
        <w:gridCol w:w="874"/>
        <w:gridCol w:w="768"/>
        <w:gridCol w:w="108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FOR IMMEDIATE RELEASE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Casey’s General Stores, Inc.</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One SE Convenience Blvd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Ankeny, IA 50021</w:t>
            </w:r>
          </w:p>
        </w:tc>
      </w:tr>
    </w:tbl>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Casey's Announces First Quarter Results</w:t>
      </w:r>
    </w:p>
    <w:p>
      <w:pPr>
        <w:pStyle w:val="TextBody"/>
        <w:bidi w:val="0"/>
        <w:spacing w:lineRule="auto" w:line="268" w:before="0" w:after="0"/>
        <w:jc w:val="left"/>
        <w:rPr/>
      </w:pPr>
      <w:r>
        <w:rPr>
          <w:rFonts w:ascii="Times New Roman;serif" w:hAnsi="Times New Roman;serif"/>
          <w:b/>
          <w:color w:val="000000"/>
          <w:sz w:val="20"/>
        </w:rPr>
        <w:t>Ankeny, IA, September 8, 2026 -</w:t>
      </w:r>
      <w:r>
        <w:rPr>
          <w:color w:val="000000"/>
        </w:rPr>
        <w:t xml:space="preserve"> </w:t>
      </w:r>
      <w:r>
        <w:rPr>
          <w:rFonts w:ascii="Times New Roman;serif" w:hAnsi="Times New Roman;serif"/>
          <w:b w:val="false"/>
          <w:color w:val="000000"/>
          <w:sz w:val="20"/>
        </w:rPr>
        <w:t>Casey’s General Stores, Inc. ("Casey's" or the "Company") (Nasdaq: CASY) one of the leading convenience store chains in the United States, today announced financial results for the three months ended July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First Quarter Key Highlights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Diluted EPS of $7.37 up 27.7% from the same period a year ago. Net income was $273.7 million, up 27.1% from the prior year, and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$485.1 million, up 17.1%, from the same period a year ago. </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Inside same-store sales increased 3.2% compared to prior year, and 7.7% on a two-year stack basis, with an inside margin of 42.2%. Total inside gross profit increased 6.3% to $749.8 million compared to the prior year.</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Fuel same-store gallons sold were down 0.3% compared to prior year, and positive 1.4% on a two-year stack basis, with a fuel margin of 47.8 cents per gallon. Total fuel gross profit increased 19.6% to $446.9 million compared to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Casey's released its new three-year strategic plan in June.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off to a great start on our three-year strategic plan, highlighted by a nearly 28% increase in diluted EPS,” said Darren Rebelez, Chairman, President and CEO. “Guests are responding well to our compelling value proposition on our high-quality prepared food, especially in whole pies. On the fuel side, our team's robust capabilities helped us navigate a volatile environment and produced strong results. The operations team delivered an exceptional guest experience during our busiest quarter of the year. We accomplished all of this while running ahead of schedule on our integration of the Fikes acquisition."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Earnings</w:t>
      </w:r>
    </w:p>
    <w:p>
      <w:pPr>
        <w:pStyle w:val="TextBody"/>
        <w:bidi w:val="0"/>
        <w:spacing w:before="0" w:after="0"/>
        <w:jc w:val="left"/>
        <w:rPr/>
      </w:pPr>
      <w:r>
        <w:rPr/>
      </w:r>
    </w:p>
    <w:tbl>
      <w:tblPr>
        <w:tblW w:w="5364" w:type="dxa"/>
        <w:jc w:val="left"/>
        <w:tblInd w:w="0" w:type="dxa"/>
        <w:tblLayout w:type="fixed"/>
        <w:tblCellMar>
          <w:top w:w="28" w:type="dxa"/>
          <w:left w:w="28" w:type="dxa"/>
          <w:bottom w:w="28" w:type="dxa"/>
          <w:right w:w="28" w:type="dxa"/>
        </w:tblCellMar>
      </w:tblPr>
      <w:tblGrid>
        <w:gridCol w:w="813"/>
        <w:gridCol w:w="716"/>
        <w:gridCol w:w="720"/>
        <w:gridCol w:w="211"/>
        <w:gridCol w:w="841"/>
        <w:gridCol w:w="109"/>
        <w:gridCol w:w="109"/>
        <w:gridCol w:w="109"/>
        <w:gridCol w:w="109"/>
        <w:gridCol w:w="211"/>
        <w:gridCol w:w="826"/>
        <w:gridCol w:w="109"/>
        <w:gridCol w:w="109"/>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EBITDA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net income, diluted EPS, and EBITDA increased compared to the same period a year ago due to higher inside and fuel gross profit, partially offset by higher operating expenses.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EBITDA is reconciled to net income below.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Inside</w:t>
      </w:r>
    </w:p>
    <w:tbl>
      <w:tblPr>
        <w:tblW w:w="8328" w:type="dxa"/>
        <w:jc w:val="left"/>
        <w:tblInd w:w="0" w:type="dxa"/>
        <w:tblLayout w:type="fixed"/>
        <w:tblCellMar>
          <w:top w:w="28" w:type="dxa"/>
          <w:left w:w="28" w:type="dxa"/>
          <w:bottom w:w="28" w:type="dxa"/>
          <w:right w:w="28" w:type="dxa"/>
        </w:tblCellMar>
      </w:tblPr>
      <w:tblGrid>
        <w:gridCol w:w="1648"/>
        <w:gridCol w:w="1452"/>
        <w:gridCol w:w="1459"/>
        <w:gridCol w:w="211"/>
        <w:gridCol w:w="991"/>
        <w:gridCol w:w="301"/>
        <w:gridCol w:w="109"/>
        <w:gridCol w:w="109"/>
        <w:gridCol w:w="109"/>
        <w:gridCol w:w="211"/>
        <w:gridCol w:w="976"/>
        <w:gridCol w:w="271"/>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sales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1,777,541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same-store sales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Grocery and general merchandise same-store sales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Prepared food and dispensed beverage same-store sales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gross profit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749,809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margin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Grocery and general merchandise margin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Prepared food and dispensed beverage margin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inside sales for the quarter were up 5.6% compared to the prior year. Prepared food and dispensed beverage same-store sales was driven primarily by positive traffic, led by whole pizzas, while grocery and general merchandise same-store sales had excellent performance in non-alcoholic beverages. Inside margin was up approximately 30 basis points compared to the same quarter a year ago, benefitting primarily from favorable mix shift and cost of goods management.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Fuel</w:t>
      </w:r>
      <w:r>
        <w:rPr>
          <w:rFonts w:ascii="Times New Roman;serif" w:hAnsi="Times New Roman;serif"/>
          <w:b/>
          <w:color w:val="000000"/>
          <w:sz w:val="13"/>
        </w:rPr>
        <w:t>2</w:t>
      </w:r>
      <w:r>
        <w:rPr>
          <w:color w:val="000000"/>
        </w:rPr>
        <w:t xml:space="preserve"> </w:t>
      </w:r>
    </w:p>
    <w:tbl>
      <w:tblPr>
        <w:tblW w:w="8194" w:type="dxa"/>
        <w:jc w:val="left"/>
        <w:tblInd w:w="0" w:type="dxa"/>
        <w:tblLayout w:type="fixed"/>
        <w:tblCellMar>
          <w:top w:w="28" w:type="dxa"/>
          <w:left w:w="28" w:type="dxa"/>
          <w:bottom w:w="28" w:type="dxa"/>
          <w:right w:w="28" w:type="dxa"/>
        </w:tblCellMar>
      </w:tblPr>
      <w:tblGrid>
        <w:gridCol w:w="1708"/>
        <w:gridCol w:w="1504"/>
        <w:gridCol w:w="1513"/>
        <w:gridCol w:w="211"/>
        <w:gridCol w:w="841"/>
        <w:gridCol w:w="301"/>
        <w:gridCol w:w="109"/>
        <w:gridCol w:w="109"/>
        <w:gridCol w:w="109"/>
        <w:gridCol w:w="211"/>
        <w:gridCol w:w="826"/>
        <w:gridCol w:w="271"/>
        <w:gridCol w:w="109"/>
        <w:gridCol w:w="109"/>
        <w:gridCol w:w="109"/>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gallons sold (in thousands)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934,212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gallons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gross profit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446,929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margin (cents per gallon, excluding credit card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 total fuel gallons sold increased 2.5% compared to the prior year due to the store count increase, slightly offset by a modest decrease in same-store gallons sold. The Company’s total fuel gross profit was up 19.6% versus the prior year, due to an increase in gallons sold as well as fuel margin.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tbl>
      <w:tblPr>
        <w:tblW w:w="8208" w:type="dxa"/>
        <w:jc w:val="left"/>
        <w:tblInd w:w="0" w:type="dxa"/>
        <w:tblLayout w:type="fixed"/>
        <w:tblCellMar>
          <w:top w:w="28" w:type="dxa"/>
          <w:left w:w="28" w:type="dxa"/>
          <w:bottom w:w="28" w:type="dxa"/>
          <w:right w:w="28" w:type="dxa"/>
        </w:tblCellMar>
      </w:tblPr>
      <w:tblGrid>
        <w:gridCol w:w="1713"/>
        <w:gridCol w:w="1508"/>
        <w:gridCol w:w="1518"/>
        <w:gridCol w:w="211"/>
        <w:gridCol w:w="841"/>
        <w:gridCol w:w="301"/>
        <w:gridCol w:w="109"/>
        <w:gridCol w:w="109"/>
        <w:gridCol w:w="109"/>
        <w:gridCol w:w="211"/>
        <w:gridCol w:w="826"/>
        <w:gridCol w:w="271"/>
        <w:gridCol w:w="109"/>
        <w:gridCol w:w="109"/>
        <w:gridCol w:w="109"/>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754,111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fees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85,709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operating expenses excluding credit card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8.0% during the first quarter. Operating 64 more stores than prior year accounted for approximately 2% of the increase. Same-store credit card fees added approximately 1.5% of the increase. Same-store employee expense contributed to approximately 1% of the increase, primarily due to increases in labor rates, while same-store labor hours were nearly flat. Insurance was responsible for approximately 1% of the increase.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Fuel category does not include wholesale fuel or terminal activity, which is included in Other.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Expansion</w:t>
      </w:r>
    </w:p>
    <w:tbl>
      <w:tblPr>
        <w:tblW w:w="3269" w:type="dxa"/>
        <w:jc w:val="left"/>
        <w:tblInd w:w="0" w:type="dxa"/>
        <w:tblLayout w:type="fixed"/>
        <w:tblCellMar>
          <w:top w:w="28" w:type="dxa"/>
          <w:left w:w="28" w:type="dxa"/>
          <w:bottom w:w="28" w:type="dxa"/>
          <w:right w:w="28" w:type="dxa"/>
        </w:tblCellMar>
      </w:tblPr>
      <w:tblGrid>
        <w:gridCol w:w="766"/>
        <w:gridCol w:w="671"/>
        <w:gridCol w:w="678"/>
        <w:gridCol w:w="337"/>
        <w:gridCol w:w="337"/>
        <w:gridCol w:w="480"/>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 Count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Stores at April 30, 2026</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 construction</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Closed or divested</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Stores at July 31, 2026</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July 31, 2026, the Company had approximately $1.4 billion in available liquidity, consisting of approximately $524 million in cash and cash equivalents on hand and approximately $857 million in available borrowing capacity on existing lines of credit.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Share Repurchase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the Company repurchased approximately $45.6 million of shares. The Company has approximately $973 million remaining under its existing share repurchase authorization.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Dividend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its September meeting, the Board of Directors approved a quarterly dividend of $0.65 per share. The dividend is payable November 13, 2026, to shareholders of record on November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2027 Outlook</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fiscal 2027 outlook previously disclosed remains unchanged. Casey's expects the following performance during fiscal 2027. The Company expects inside same-store sales to increase 2% to 5% with an inside margin above 42%. The Company expects same-store fuel gallons sold to be negative 1% to positive 1%. Total operating expenses are expected to increase approximately 5% to 7%. The Company expects EBITDA to increase 8% to 10%, which would imply 35% on a two-year stack basis at the midpoint of the range.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open at least 120 stores in fiscal 2027 through a mix of M&amp;A and new store construction. Net interest expense is expected to be approximately $95 million. Depreciation and amortization is expected to be approximately $490 million and the purchase of property and equipment is expected to be approximately $800 million. The tax rate is expected to be approximately 24% to 26% for the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in thousands, except share and per share amounts)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59"/>
        <w:gridCol w:w="2161"/>
        <w:gridCol w:w="2169"/>
        <w:gridCol w:w="211"/>
        <w:gridCol w:w="991"/>
        <w:gridCol w:w="109"/>
        <w:gridCol w:w="109"/>
        <w:gridCol w:w="109"/>
        <w:gridCol w:w="109"/>
        <w:gridCol w:w="211"/>
        <w:gridCol w:w="976"/>
        <w:gridCol w:w="109"/>
        <w:gridCol w:w="109"/>
        <w:gridCol w:w="109"/>
        <w:gridCol w:w="109"/>
        <w:gridCol w:w="155"/>
      </w:tblGrid>
      <w:tr>
        <w:trPr/>
        <w:tc>
          <w:tcPr>
            <w:tcW w:w="245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5,678,336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 shown separately below)</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36,965,113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37,148,383 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share-based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2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37,142,257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37,352,080 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71"/>
        <w:gridCol w:w="2285"/>
        <w:gridCol w:w="2268"/>
        <w:gridCol w:w="211"/>
        <w:gridCol w:w="991"/>
        <w:gridCol w:w="109"/>
        <w:gridCol w:w="109"/>
        <w:gridCol w:w="109"/>
        <w:gridCol w:w="109"/>
        <w:gridCol w:w="211"/>
        <w:gridCol w:w="976"/>
        <w:gridCol w:w="156"/>
      </w:tblGrid>
      <w:tr>
        <w:trPr/>
        <w:tc>
          <w:tcPr>
            <w:tcW w:w="267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1,388,861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 of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$3,546,531 at July 31, 2026 and $3,444,442 at April 30, 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5,879,761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9,121,263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finance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current portion of operating lease liabilities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 net of current maturities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2,326,200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772,640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accruals, net of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5,027,350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4,093,913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9,121,263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398" w:type="dxa"/>
        <w:jc w:val="left"/>
        <w:tblInd w:w="0" w:type="dxa"/>
        <w:tblLayout w:type="fixed"/>
        <w:tblCellMar>
          <w:top w:w="28" w:type="dxa"/>
          <w:left w:w="28" w:type="dxa"/>
          <w:bottom w:w="28" w:type="dxa"/>
          <w:right w:w="28" w:type="dxa"/>
        </w:tblCellMar>
      </w:tblPr>
      <w:tblGrid>
        <w:gridCol w:w="2431"/>
        <w:gridCol w:w="2141"/>
        <w:gridCol w:w="2147"/>
        <w:gridCol w:w="211"/>
        <w:gridCol w:w="841"/>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excess replacement cost over LIFO inventory valuation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impairment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384,072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 of businesses,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and 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cash dividends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and payment of related excise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on employee share-based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(148,283)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04" w:type="dxa"/>
        <w:jc w:val="left"/>
        <w:tblInd w:w="0" w:type="dxa"/>
        <w:tblLayout w:type="fixed"/>
        <w:tblCellMar>
          <w:top w:w="28" w:type="dxa"/>
          <w:left w:w="28" w:type="dxa"/>
          <w:bottom w:w="28" w:type="dxa"/>
          <w:right w:w="28" w:type="dxa"/>
        </w:tblCellMar>
      </w:tblPr>
      <w:tblGrid>
        <w:gridCol w:w="1603"/>
        <w:gridCol w:w="1407"/>
        <w:gridCol w:w="1415"/>
        <w:gridCol w:w="211"/>
        <w:gridCol w:w="841"/>
        <w:gridCol w:w="109"/>
        <w:gridCol w:w="109"/>
        <w:gridCol w:w="109"/>
        <w:gridCol w:w="109"/>
        <w:gridCol w:w="211"/>
        <w:gridCol w:w="82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524,059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FLOWS INFORMATION</w:t>
      </w:r>
    </w:p>
    <w:tbl>
      <w:tblPr>
        <w:tblW w:w="9098" w:type="dxa"/>
        <w:jc w:val="left"/>
        <w:tblInd w:w="0" w:type="dxa"/>
        <w:tblLayout w:type="fixed"/>
        <w:tblCellMar>
          <w:top w:w="28" w:type="dxa"/>
          <w:left w:w="28" w:type="dxa"/>
          <w:bottom w:w="28" w:type="dxa"/>
          <w:right w:w="28" w:type="dxa"/>
        </w:tblCellMar>
      </w:tblPr>
      <w:tblGrid>
        <w:gridCol w:w="2393"/>
        <w:gridCol w:w="2099"/>
        <w:gridCol w:w="2122"/>
        <w:gridCol w:w="212"/>
        <w:gridCol w:w="742"/>
        <w:gridCol w:w="109"/>
        <w:gridCol w:w="109"/>
        <w:gridCol w:w="109"/>
        <w:gridCol w:w="109"/>
        <w:gridCol w:w="212"/>
        <w:gridCol w:w="727"/>
        <w:gridCol w:w="155"/>
      </w:tblGrid>
      <w:tr>
        <w:trPr/>
        <w:tc>
          <w:tcPr>
            <w:tcW w:w="239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Purchased property and equipment in accounts payable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finance lease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3"/>
        <w:gridCol w:w="478"/>
        <w:gridCol w:w="482"/>
        <w:gridCol w:w="301"/>
        <w:gridCol w:w="1157"/>
        <w:gridCol w:w="440"/>
        <w:gridCol w:w="109"/>
        <w:gridCol w:w="109"/>
        <w:gridCol w:w="109"/>
        <w:gridCol w:w="206"/>
        <w:gridCol w:w="932"/>
        <w:gridCol w:w="300"/>
        <w:gridCol w:w="109"/>
        <w:gridCol w:w="109"/>
        <w:gridCol w:w="109"/>
        <w:gridCol w:w="196"/>
        <w:gridCol w:w="886"/>
        <w:gridCol w:w="286"/>
        <w:gridCol w:w="109"/>
        <w:gridCol w:w="109"/>
        <w:gridCol w:w="109"/>
        <w:gridCol w:w="196"/>
        <w:gridCol w:w="751"/>
        <w:gridCol w:w="286"/>
        <w:gridCol w:w="109"/>
        <w:gridCol w:w="109"/>
        <w:gridCol w:w="109"/>
        <w:gridCol w:w="196"/>
        <w:gridCol w:w="886"/>
        <w:gridCol w:w="335"/>
      </w:tblGrid>
      <w:tr>
        <w:trPr/>
        <w:tc>
          <w:tcPr>
            <w:tcW w:w="58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by Category</w:t>
            </w:r>
            <w:r>
              <w:rPr>
                <w:color w:val="000000"/>
              </w:rPr>
              <w:t xml:space="preserve"> </w:t>
            </w:r>
            <w:r>
              <w:rPr>
                <w:rFonts w:ascii="Times New Roman;serif" w:hAnsi="Times New Roman;serif"/>
                <w:b w:val="false"/>
                <w:color w:val="000000"/>
                <w:sz w:val="18"/>
              </w:rPr>
              <w:t>(Amounts in thousands)</w:t>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July 31, 2026</w:t>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w:t>
              <w:br/>
              <w:t>Merchandise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492,580</w:t>
            </w: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1,284,961</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3,724,798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175,997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5,678,336</w:t>
            </w: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291,971</w:t>
            </w: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457,838</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446,929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1,239,194</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w:t>
            </w: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w:t>
            </w: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Fuel gallons sold</w:t>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934,212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 July 31, 2025</w:t>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458,434 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1,225,383 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2,733,659 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4,567,106 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439,483 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1,112,446 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gallons sold</w:t>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911,780 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1393"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34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Margin</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58.6</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393"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34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 Merchandise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 Merchandise</w:t>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Margin</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989"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196"/>
        <w:gridCol w:w="109"/>
        <w:gridCol w:w="109"/>
        <w:gridCol w:w="109"/>
        <w:gridCol w:w="240"/>
        <w:gridCol w:w="241"/>
        <w:gridCol w:w="196"/>
        <w:gridCol w:w="109"/>
        <w:gridCol w:w="109"/>
        <w:gridCol w:w="109"/>
        <w:gridCol w:w="240"/>
        <w:gridCol w:w="241"/>
        <w:gridCol w:w="196"/>
        <w:gridCol w:w="109"/>
        <w:gridCol w:w="109"/>
        <w:gridCol w:w="109"/>
        <w:gridCol w:w="240"/>
        <w:gridCol w:w="241"/>
        <w:gridCol w:w="196"/>
        <w:gridCol w:w="109"/>
        <w:gridCol w:w="109"/>
        <w:gridCol w:w="109"/>
        <w:gridCol w:w="240"/>
        <w:gridCol w:w="241"/>
        <w:gridCol w:w="30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 Gallons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 Margin</w:t>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36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(Cents per gallon, excluding credit card fees)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F2027</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F2026</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100" w:after="283"/>
        <w:jc w:val="both"/>
        <w:rPr>
          <w:rFonts w:ascii="Times New Roman;serif" w:hAnsi="Times New Roman;serif"/>
          <w:b/>
          <w:color w:val="000000"/>
          <w:sz w:val="20"/>
        </w:rPr>
      </w:pPr>
      <w:r>
        <w:rPr>
          <w:rFonts w:ascii="Times New Roman;serif" w:hAnsi="Times New Roman;serif"/>
          <w:b/>
          <w:color w:val="000000"/>
          <w:sz w:val="20"/>
        </w:rPr>
        <w:t>RECONCILIATION OF NET INCOME TO EBITDA</w:t>
      </w:r>
    </w:p>
    <w:p>
      <w:pPr>
        <w:pStyle w:val="TextBody"/>
        <w:bidi w:val="0"/>
        <w:spacing w:lineRule="auto" w:line="288" w:before="12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EBITDA as net income before net interest expense, income taxes, and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 We strongly encourage investors to review our financial statements and publicly filed reports in their entirety and not to rely on any single financial measure.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EBITDA is useful to investors in evaluating our operating performance because securities analysts and other interested parties use this calculation as a measure of financial performance and debt service capabilities, and it is regularly used by the Company for internal purposes including our capital budgeting process, evaluating acquisition targets, assessing performance, and awarding incentive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a reconciliation of net income to EBITDA for the three months ended July 31, 2026 and 2025:</w:t>
      </w:r>
    </w:p>
    <w:tbl>
      <w:tblPr>
        <w:tblW w:w="5709" w:type="dxa"/>
        <w:jc w:val="left"/>
        <w:tblInd w:w="0" w:type="dxa"/>
        <w:tblLayout w:type="fixed"/>
        <w:tblCellMar>
          <w:top w:w="28" w:type="dxa"/>
          <w:left w:w="28" w:type="dxa"/>
          <w:bottom w:w="28" w:type="dxa"/>
          <w:right w:w="28" w:type="dxa"/>
        </w:tblCellMar>
      </w:tblPr>
      <w:tblGrid>
        <w:gridCol w:w="938"/>
        <w:gridCol w:w="826"/>
        <w:gridCol w:w="830"/>
        <w:gridCol w:w="211"/>
        <w:gridCol w:w="841"/>
        <w:gridCol w:w="109"/>
        <w:gridCol w:w="109"/>
        <w:gridCol w:w="109"/>
        <w:gridCol w:w="109"/>
        <w:gridCol w:w="211"/>
        <w:gridCol w:w="826"/>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485,083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profit is defined as revenue less cost of goods sold (excluding depreciation and amortization)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Inside is defined as the combination of grocery and general merchandise and prepared food and dispensed beverage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statements that may constitute forward-looking statements within the meaning of the Private Securities Litigation Reform Act of 1995, including those related to expectations for future periods, possible or assumed future results of operations, financial conditions, liquidity and related sources or needs, business and/or integration strategies, plans and synergies, supply chain, growth opportunities, and performance at our stores. There are a number of known and unknown risks, uncertainties, and other factors that may cause our actual results to differ materially from any results expressed or implied by these forward-looking statements, including but not limited to the execution of our strategic plan, the integration and financial performance of acquired stores, wholesale fuel, inventory and ingredient costs, distribution challenges and disruptions, the impact and duration of conflicts in oil producing regions or other geopolitical disruptions, as well as other risks, uncertainties and factors which are described in the Company’s most recent annual report on Form 10-K and quarterly reports on Form 10-Q, as filed with the Securities and Exchange Commission and available on our website. Any forward-looking statements contained in this release represent our current views as of the date of this release with respect to future events, and Casey’s disclaims any intention or obligation to update or revise any forward-looking statements in the release whether as a result of new information, future events, or otherwise.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Corporate information is available at this website: </w:t>
      </w:r>
      <w:r>
        <w:rPr>
          <w:rFonts w:ascii="Times New Roman;serif" w:hAnsi="Times New Roman;serif"/>
          <w:b w:val="false"/>
          <w:i/>
          <w:color w:val="0563C1"/>
          <w:sz w:val="20"/>
          <w:u w:val="single"/>
        </w:rPr>
        <w:t>https://www.caseys.com</w:t>
      </w:r>
      <w:r>
        <w:rPr>
          <w:rFonts w:ascii="Times New Roman;serif" w:hAnsi="Times New Roman;serif"/>
          <w:b w:val="false"/>
          <w:i/>
          <w:color w:val="000000"/>
          <w:sz w:val="20"/>
        </w:rPr>
        <w:t>. Earnings will be reported during a conference call on September 9, 2026. The call will be broadcast live over the Internet at 7:30 a.m. CDT. To access the call, go to the Events and Presentations section of our website at https://investor.caseys.com/events-presentations.  No access code is required. A webcast replay of the call will remain available in an archived format on the Events and Presentations section of our website at https://investor.caseys.com/events-presentations for one year after the call.</w:t>
      </w:r>
    </w:p>
    <w:p>
      <w:pPr>
        <w:pStyle w:val="TextBody"/>
        <w:bidi w:val="0"/>
        <w:spacing w:before="0" w:after="0"/>
        <w:jc w:val="left"/>
        <w:rPr/>
      </w:pPr>
      <w:r>
        <w:rPr/>
      </w:r>
    </w:p>
    <w:p>
      <w:pPr>
        <w:pStyle w:val="TextBody"/>
        <w:bidi w:val="0"/>
        <w:spacing w:before="0" w:after="0"/>
        <w:jc w:val="left"/>
        <w:rPr/>
      </w:pPr>
      <w:r>
        <w:rPr/>
      </w:r>
    </w:p>
    <w:tbl>
      <w:tblPr>
        <w:tblW w:w="4875" w:type="dxa"/>
        <w:jc w:val="left"/>
        <w:tblInd w:w="0" w:type="dxa"/>
        <w:tblLayout w:type="fixed"/>
        <w:tblCellMar>
          <w:top w:w="28" w:type="dxa"/>
          <w:left w:w="28" w:type="dxa"/>
          <w:bottom w:w="28" w:type="dxa"/>
          <w:right w:w="28" w:type="dxa"/>
        </w:tblCellMar>
      </w:tblPr>
      <w:tblGrid>
        <w:gridCol w:w="881"/>
        <w:gridCol w:w="772"/>
        <w:gridCol w:w="777"/>
        <w:gridCol w:w="716"/>
        <w:gridCol w:w="716"/>
        <w:gridCol w:w="1013"/>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Investor Relations Contact:</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Media Relations Contact: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Sam James (515) 446-6506</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Katie Petru (515) 446-6772</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CASY-IR</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3240</Words>
  <Characters>17825</Characters>
  <CharactersWithSpaces>20545</CharactersWithSpaces>
  <Paragraphs>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