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0001551683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CASEYS GENERAL STORES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001-34700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PO BOX 3001</w:t>
              <w:br/>
              <w:t>ANKENY</w:t>
              <w:br/>
              <w:t xml:space="preserve">IOWA </w:t>
              <w:br/>
              <w:t>50021</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515-965-6100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Bramlage Stephen P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5700</w:t>
            </w:r>
          </w:p>
        </w:tc>
        <w:tc>
          <w:tcPr>
            <w:tcW w:w="1452" w:type="dxa"/>
            <w:tcBorders/>
            <w:vAlign w:val="center"/>
          </w:tcPr>
          <w:p>
            <w:pPr>
              <w:pStyle w:val="TableContents"/>
              <w:bidi w:val="0"/>
              <w:spacing w:before="0" w:after="283"/>
              <w:jc w:val="left"/>
              <w:rPr/>
            </w:pPr>
            <w:r>
              <w:rPr/>
              <w:t>4777512.00</w:t>
            </w:r>
          </w:p>
        </w:tc>
        <w:tc>
          <w:tcPr>
            <w:tcW w:w="1544" w:type="dxa"/>
            <w:tcBorders/>
            <w:vAlign w:val="center"/>
          </w:tcPr>
          <w:p>
            <w:pPr>
              <w:pStyle w:val="TableContents"/>
              <w:bidi w:val="0"/>
              <w:spacing w:before="0" w:after="283"/>
              <w:jc w:val="left"/>
              <w:rPr/>
            </w:pPr>
            <w:r>
              <w:rPr/>
              <w:t>37004914</w:t>
            </w:r>
          </w:p>
        </w:tc>
        <w:tc>
          <w:tcPr>
            <w:tcW w:w="1562" w:type="dxa"/>
            <w:tcBorders/>
            <w:vAlign w:val="center"/>
          </w:tcPr>
          <w:p>
            <w:pPr>
              <w:pStyle w:val="TableContents"/>
              <w:bidi w:val="0"/>
              <w:spacing w:before="0" w:after="283"/>
              <w:jc w:val="left"/>
              <w:rPr/>
            </w:pPr>
            <w:r>
              <w:rPr/>
              <w:t>07/08/2026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5700</w:t>
            </w:r>
          </w:p>
        </w:tc>
        <w:tc>
          <w:tcPr>
            <w:tcW w:w="1046" w:type="dxa"/>
            <w:tcBorders/>
            <w:vAlign w:val="center"/>
          </w:tcPr>
          <w:p>
            <w:pPr>
              <w:pStyle w:val="TableContents"/>
              <w:bidi w:val="0"/>
              <w:spacing w:before="0" w:after="283"/>
              <w:jc w:val="left"/>
              <w:rPr/>
            </w:pPr>
            <w:r>
              <w:rPr/>
              <w:t>06/15/2026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66"/>
        <w:gridCol w:w="8539"/>
      </w:tblGrid>
      <w:tr>
        <w:trPr/>
        <w:tc>
          <w:tcPr>
            <w:tcW w:w="1666" w:type="dxa"/>
            <w:tcBorders/>
            <w:vAlign w:val="center"/>
          </w:tcPr>
          <w:p>
            <w:pPr>
              <w:pStyle w:val="TableContents"/>
              <w:bidi w:val="0"/>
              <w:spacing w:before="0" w:after="283"/>
              <w:jc w:val="left"/>
              <w:rPr/>
            </w:pPr>
            <w:r>
              <w:rPr/>
              <w:t>Remarks</w:t>
            </w:r>
          </w:p>
        </w:tc>
        <w:tc>
          <w:tcPr>
            <w:tcW w:w="8539"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pPr>
            <w:r>
              <w:rPr/>
              <w:t>Date of Notice</w:t>
            </w:r>
          </w:p>
        </w:tc>
        <w:tc>
          <w:tcPr>
            <w:tcW w:w="8539"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66" w:type="dxa"/>
            <w:tcBorders/>
            <w:vAlign w:val="center"/>
          </w:tcPr>
          <w:p>
            <w:pPr>
              <w:pStyle w:val="TableContents"/>
              <w:bidi w:val="0"/>
              <w:spacing w:before="0" w:after="283"/>
              <w:jc w:val="left"/>
              <w:rPr/>
            </w:pPr>
            <w:r>
              <w:rPr/>
              <w:t>Signature</w:t>
            </w:r>
          </w:p>
        </w:tc>
        <w:tc>
          <w:tcPr>
            <w:tcW w:w="8539" w:type="dxa"/>
            <w:tcBorders/>
            <w:vAlign w:val="center"/>
          </w:tcPr>
          <w:p>
            <w:pPr>
              <w:pStyle w:val="TableContents"/>
              <w:bidi w:val="0"/>
              <w:spacing w:before="0" w:after="0"/>
              <w:jc w:val="left"/>
              <w:rPr/>
            </w:pPr>
            <w:r>
              <w:rPr/>
              <w:t>/s/ Gerardo Ibarra-Munoz, as a duly authorized representative of Fidelity Brokerage Services LLC, as attorney-in-fact for Stephen P. Bramlage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2987</Characters>
  <CharactersWithSpaces>3521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