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Johnson Brian Joseph</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440" w:type="dxa"/>
            <w:vAlign w:val="bottom"/>
          </w:tcPr>
          <w:p>
            <w:pPr>
              <w:ind w:left="26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w w:val="96"/>
              </w:rPr>
              <w:t>ONE SE CONVENIENCE BLVD.</w:t>
            </w:r>
          </w:p>
        </w:tc>
        <w:tc>
          <w:tcPr>
            <w:tcW w:w="12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r>
      <w:tr>
        <w:trPr>
          <w:trHeight w:val="25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ANKENY</w:t>
            </w:r>
          </w:p>
        </w:tc>
        <w:tc>
          <w:tcPr>
            <w:tcW w:w="1440" w:type="dxa"/>
            <w:vAlign w:val="bottom"/>
          </w:tcPr>
          <w:p>
            <w:pPr>
              <w:ind w:left="260"/>
              <w:spacing w:after="0"/>
              <w:rPr>
                <w:sz w:val="20"/>
                <w:szCs w:val="20"/>
                <w:color w:val="auto"/>
              </w:rPr>
            </w:pPr>
            <w:r>
              <w:rPr>
                <w:rFonts w:ascii="Arial" w:cs="Arial" w:eastAsia="Arial" w:hAnsi="Arial"/>
                <w:sz w:val="17"/>
                <w:szCs w:val="17"/>
                <w:color w:val="0000FF"/>
              </w:rPr>
              <w:t>IA</w:t>
            </w:r>
          </w:p>
        </w:tc>
        <w:tc>
          <w:tcPr>
            <w:tcW w:w="1240" w:type="dxa"/>
            <w:vAlign w:val="bottom"/>
          </w:tcPr>
          <w:p>
            <w:pPr>
              <w:ind w:left="40"/>
              <w:spacing w:after="0"/>
              <w:rPr>
                <w:sz w:val="20"/>
                <w:szCs w:val="20"/>
                <w:color w:val="auto"/>
              </w:rPr>
            </w:pPr>
            <w:r>
              <w:rPr>
                <w:rFonts w:ascii="Arial" w:cs="Arial" w:eastAsia="Arial" w:hAnsi="Arial"/>
                <w:sz w:val="17"/>
                <w:szCs w:val="17"/>
                <w:color w:val="0000FF"/>
              </w:rPr>
              <w:t>50021</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440" w:type="dxa"/>
            <w:vAlign w:val="bottom"/>
          </w:tcPr>
          <w:p>
            <w:pPr>
              <w:ind w:left="26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3"/>
        </w:trPr>
        <w:tc>
          <w:tcPr>
            <w:tcW w:w="3840" w:type="dxa"/>
            <w:vAlign w:val="bottom"/>
            <w:gridSpan w:val="2"/>
          </w:tcPr>
          <w:p>
            <w:pPr>
              <w:ind w:left="80"/>
              <w:spacing w:after="0" w:line="203"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CASEYS GENERAL STORES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6"/>
                <w:szCs w:val="16"/>
                <w:color w:val="0000FF"/>
                <w:w w:val="96"/>
              </w:rPr>
              <w:t>CASY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6"/>
        </w:trPr>
        <w:tc>
          <w:tcPr>
            <w:tcW w:w="200" w:type="dxa"/>
            <w:vAlign w:val="bottom"/>
            <w:vMerge w:val="restart"/>
          </w:tcPr>
          <w:p>
            <w:pPr>
              <w:ind w:left="80"/>
              <w:spacing w:after="0"/>
              <w:rPr>
                <w:sz w:val="20"/>
                <w:szCs w:val="20"/>
                <w:color w:val="auto"/>
              </w:rPr>
            </w:pPr>
            <w:r>
              <w:rPr>
                <w:rFonts w:ascii="Arial" w:cs="Arial" w:eastAsia="Arial" w:hAnsi="Arial"/>
                <w:sz w:val="21"/>
                <w:szCs w:val="21"/>
                <w:color w:val="auto"/>
              </w:rPr>
              <w:t>]</w:t>
            </w:r>
          </w:p>
        </w:tc>
        <w:tc>
          <w:tcPr>
            <w:tcW w:w="3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0" w:type="dxa"/>
            <w:vAlign w:val="bottom"/>
            <w:tcBorders>
              <w:bottom w:val="single" w:sz="8" w:color="2C2C2C"/>
            </w:tcBorders>
          </w:tcPr>
          <w:p>
            <w:pPr>
              <w:spacing w:after="0"/>
              <w:rPr>
                <w:sz w:val="7"/>
                <w:szCs w:val="7"/>
                <w:color w:val="auto"/>
              </w:rPr>
            </w:pPr>
          </w:p>
        </w:tc>
        <w:tc>
          <w:tcPr>
            <w:tcW w:w="364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0" w:type="dxa"/>
            <w:vAlign w:val="bottom"/>
            <w:vMerge w:val="continue"/>
          </w:tcPr>
          <w:p>
            <w:pPr>
              <w:spacing w:after="0"/>
              <w:rPr>
                <w:sz w:val="11"/>
                <w:szCs w:val="11"/>
                <w:color w:val="auto"/>
              </w:rPr>
            </w:pPr>
          </w:p>
        </w:tc>
        <w:tc>
          <w:tcPr>
            <w:tcW w:w="36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460"/>
              <w:spacing w:after="0"/>
              <w:rPr>
                <w:sz w:val="20"/>
                <w:szCs w:val="20"/>
                <w:color w:val="auto"/>
              </w:rPr>
            </w:pPr>
            <w:r>
              <w:rPr>
                <w:rFonts w:ascii="Arial" w:cs="Arial" w:eastAsia="Arial" w:hAnsi="Arial"/>
                <w:sz w:val="17"/>
                <w:szCs w:val="17"/>
                <w:color w:val="0000FF"/>
              </w:rPr>
              <w:t>SVP, IR &amp; Bus. Dev.</w:t>
            </w:r>
          </w:p>
        </w:tc>
        <w:tc>
          <w:tcPr>
            <w:tcW w:w="0" w:type="dxa"/>
            <w:vAlign w:val="bottom"/>
          </w:tcPr>
          <w:p>
            <w:pPr>
              <w:spacing w:after="0"/>
              <w:rPr>
                <w:sz w:val="1"/>
                <w:szCs w:val="1"/>
                <w:color w:val="auto"/>
              </w:rPr>
            </w:pPr>
          </w:p>
        </w:tc>
      </w:tr>
      <w:tr>
        <w:trPr>
          <w:trHeight w:val="111"/>
        </w:trPr>
        <w:tc>
          <w:tcPr>
            <w:tcW w:w="3840" w:type="dxa"/>
            <w:vAlign w:val="bottom"/>
            <w:gridSpan w:val="2"/>
            <w:vMerge w:val="restart"/>
          </w:tcPr>
          <w:p>
            <w:pPr>
              <w:ind w:left="80"/>
              <w:spacing w:after="0"/>
              <w:rPr>
                <w:sz w:val="20"/>
                <w:szCs w:val="20"/>
                <w:color w:val="auto"/>
              </w:rPr>
            </w:pPr>
            <w:r>
              <w:rPr>
                <w:rFonts w:ascii="Arial" w:cs="Arial" w:eastAsia="Arial" w:hAnsi="Arial"/>
                <w:sz w:val="17"/>
                <w:szCs w:val="17"/>
                <w:color w:val="0000FF"/>
              </w:rPr>
              <w:t>06/15/2020</w:t>
            </w: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0" w:type="dxa"/>
            <w:vAlign w:val="bottom"/>
            <w:tcBorders>
              <w:bottom w:val="single" w:sz="8" w:color="2C2C2C"/>
            </w:tcBorders>
          </w:tcPr>
          <w:p>
            <w:pPr>
              <w:spacing w:after="0"/>
              <w:rPr>
                <w:sz w:val="10"/>
                <w:szCs w:val="10"/>
                <w:color w:val="auto"/>
              </w:rPr>
            </w:pPr>
          </w:p>
        </w:tc>
        <w:tc>
          <w:tcPr>
            <w:tcW w:w="364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153035</wp:posOffset>
            </wp:positionV>
            <wp:extent cx="6967220" cy="2531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531110"/>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8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06/15/2020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1"/>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center"/>
              <w:ind w:left="36"/>
              <w:spacing w:after="0"/>
              <w:rPr>
                <w:sz w:val="20"/>
                <w:szCs w:val="20"/>
                <w:color w:val="auto"/>
              </w:rPr>
            </w:pPr>
            <w:r>
              <w:rPr>
                <w:rFonts w:ascii="Arial" w:cs="Arial" w:eastAsia="Arial" w:hAnsi="Arial"/>
                <w:sz w:val="17"/>
                <w:szCs w:val="17"/>
                <w:color w:val="0000FF"/>
                <w:w w:val="89"/>
              </w:rPr>
              <w:t>1,141</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2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11,958</w:t>
            </w:r>
          </w:p>
        </w:tc>
        <w:tc>
          <w:tcPr>
            <w:tcW w:w="280" w:type="dxa"/>
            <w:vAlign w:val="bottom"/>
          </w:tcPr>
          <w:p>
            <w:pPr>
              <w:spacing w:after="0"/>
              <w:rPr>
                <w:sz w:val="22"/>
                <w:szCs w:val="22"/>
                <w:color w:val="auto"/>
              </w:rPr>
            </w:pPr>
          </w:p>
        </w:tc>
        <w:tc>
          <w:tcPr>
            <w:tcW w:w="680" w:type="dxa"/>
            <w:vAlign w:val="bottom"/>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06/15/2020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left="56"/>
              <w:spacing w:after="0"/>
              <w:rPr>
                <w:sz w:val="20"/>
                <w:szCs w:val="20"/>
                <w:color w:val="auto"/>
              </w:rPr>
            </w:pPr>
            <w:r>
              <w:rPr>
                <w:rFonts w:ascii="Arial" w:cs="Arial" w:eastAsia="Arial" w:hAnsi="Arial"/>
                <w:sz w:val="17"/>
                <w:szCs w:val="17"/>
                <w:color w:val="0000FF"/>
                <w:w w:val="87"/>
              </w:rPr>
              <w:t>4,830</w:t>
            </w:r>
            <w:r>
              <w:rPr>
                <w:rFonts w:ascii="Arial" w:cs="Arial" w:eastAsia="Arial" w:hAnsi="Arial"/>
                <w:sz w:val="21"/>
                <w:szCs w:val="21"/>
                <w:color w:val="008000"/>
                <w:w w:val="87"/>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16,788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06/15/2020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89"/>
              </w:rPr>
              <w:t>2,699</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154.32</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14,089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Voting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and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tender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spacing w:after="0" w:line="208" w:lineRule="exact"/>
              <w:rPr>
                <w:sz w:val="20"/>
                <w:szCs w:val="20"/>
                <w:color w:val="auto"/>
              </w:rPr>
            </w:pPr>
            <w:r>
              <w:rPr>
                <w:rFonts w:ascii="Arial" w:cs="Arial" w:eastAsia="Arial" w:hAnsi="Arial"/>
                <w:sz w:val="17"/>
                <w:szCs w:val="17"/>
                <w:color w:val="0000FF"/>
                <w:w w:val="83"/>
              </w:rPr>
              <w:t>2,475</w:t>
            </w:r>
            <w:r>
              <w:rPr>
                <w:rFonts w:ascii="Arial" w:cs="Arial" w:eastAsia="Arial" w:hAnsi="Arial"/>
                <w:sz w:val="21"/>
                <w:szCs w:val="21"/>
                <w:color w:val="008000"/>
                <w:w w:val="83"/>
                <w:vertAlign w:val="superscript"/>
              </w:rPr>
              <w:t>(3)</w:t>
            </w:r>
          </w:p>
        </w:tc>
        <w:tc>
          <w:tcPr>
            <w:tcW w:w="280" w:type="dxa"/>
            <w:vAlign w:val="bottom"/>
          </w:tcPr>
          <w:p>
            <w:pPr>
              <w:spacing w:after="0"/>
              <w:rPr>
                <w:sz w:val="18"/>
                <w:szCs w:val="18"/>
                <w:color w:val="auto"/>
              </w:rPr>
            </w:pPr>
          </w:p>
        </w:tc>
        <w:tc>
          <w:tcPr>
            <w:tcW w:w="680" w:type="dxa"/>
            <w:vAlign w:val="bottom"/>
          </w:tcPr>
          <w:p>
            <w:pPr>
              <w:jc w:val="center"/>
              <w:ind w:right="312"/>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rights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under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140" w:type="dxa"/>
            <w:vAlign w:val="bottom"/>
            <w:tcBorders>
              <w:bottom w:val="single" w:sz="8" w:color="2C2C2C"/>
            </w:tcBorders>
            <w:gridSpan w:val="11"/>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1,141</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1080" w:type="dxa"/>
            <w:vAlign w:val="bottom"/>
            <w:vMerge w:val="restart"/>
          </w:tcPr>
          <w:p>
            <w:pPr>
              <w:ind w:left="240"/>
              <w:spacing w:after="0" w:line="139" w:lineRule="exact"/>
              <w:rPr>
                <w:sz w:val="20"/>
                <w:szCs w:val="20"/>
                <w:color w:val="auto"/>
              </w:rPr>
            </w:pPr>
            <w:r>
              <w:rPr>
                <w:rFonts w:ascii="Arial" w:cs="Arial" w:eastAsia="Arial" w:hAnsi="Arial"/>
                <w:sz w:val="13"/>
                <w:szCs w:val="13"/>
                <w:color w:val="0000FF"/>
              </w:rPr>
              <w:t>06/15/2020</w:t>
            </w:r>
          </w:p>
        </w:tc>
        <w:tc>
          <w:tcPr>
            <w:tcW w:w="1100" w:type="dxa"/>
            <w:vAlign w:val="bottom"/>
          </w:tcPr>
          <w:p>
            <w:pPr>
              <w:spacing w:after="0"/>
              <w:rPr>
                <w:sz w:val="6"/>
                <w:szCs w:val="6"/>
                <w:color w:val="auto"/>
              </w:rPr>
            </w:pPr>
          </w:p>
        </w:tc>
        <w:tc>
          <w:tcPr>
            <w:tcW w:w="44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70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1,141</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vMerge w:val="restart"/>
          </w:tcPr>
          <w:p>
            <w:pPr>
              <w:jc w:val="center"/>
              <w:ind w:left="239"/>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3,000</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44.39</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06/23/2014</w:t>
            </w:r>
          </w:p>
        </w:tc>
        <w:tc>
          <w:tcPr>
            <w:tcW w:w="7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06/23/2021</w:t>
            </w: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jc w:val="center"/>
              <w:ind w:left="239"/>
              <w:spacing w:after="0" w:line="139" w:lineRule="exact"/>
              <w:rPr>
                <w:sz w:val="20"/>
                <w:szCs w:val="20"/>
                <w:color w:val="auto"/>
              </w:rPr>
            </w:pPr>
            <w:r>
              <w:rPr>
                <w:rFonts w:ascii="Arial" w:cs="Arial" w:eastAsia="Arial" w:hAnsi="Arial"/>
                <w:sz w:val="13"/>
                <w:szCs w:val="13"/>
                <w:color w:val="0000FF"/>
                <w:w w:val="85"/>
              </w:rPr>
              <w:t>3,000</w:t>
            </w:r>
          </w:p>
        </w:tc>
        <w:tc>
          <w:tcPr>
            <w:tcW w:w="280" w:type="dxa"/>
            <w:vAlign w:val="bottom"/>
          </w:tcPr>
          <w:p>
            <w:pPr>
              <w:spacing w:after="0"/>
              <w:rPr>
                <w:sz w:val="6"/>
                <w:szCs w:val="6"/>
                <w:color w:val="auto"/>
              </w:rPr>
            </w:pPr>
          </w:p>
        </w:tc>
        <w:tc>
          <w:tcPr>
            <w:tcW w:w="68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(6)</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1,238</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jc w:val="center"/>
              <w:ind w:left="239"/>
              <w:spacing w:after="0" w:line="139" w:lineRule="exact"/>
              <w:rPr>
                <w:sz w:val="20"/>
                <w:szCs w:val="20"/>
                <w:color w:val="auto"/>
              </w:rPr>
            </w:pPr>
            <w:r>
              <w:rPr>
                <w:rFonts w:ascii="Arial" w:cs="Arial" w:eastAsia="Arial" w:hAnsi="Arial"/>
                <w:sz w:val="13"/>
                <w:szCs w:val="13"/>
                <w:color w:val="0000FF"/>
                <w:w w:val="85"/>
              </w:rPr>
              <w:t>1,238</w:t>
            </w:r>
          </w:p>
        </w:tc>
        <w:tc>
          <w:tcPr>
            <w:tcW w:w="280" w:type="dxa"/>
            <w:vAlign w:val="bottom"/>
          </w:tcPr>
          <w:p>
            <w:pPr>
              <w:spacing w:after="0"/>
              <w:rPr>
                <w:sz w:val="6"/>
                <w:szCs w:val="6"/>
                <w:color w:val="auto"/>
              </w:rPr>
            </w:pPr>
          </w:p>
        </w:tc>
        <w:tc>
          <w:tcPr>
            <w:tcW w:w="68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4"/>
              </w:rPr>
              <w:t>919</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jc w:val="center"/>
              <w:ind w:left="239"/>
              <w:spacing w:after="0" w:line="138" w:lineRule="exact"/>
              <w:rPr>
                <w:sz w:val="20"/>
                <w:szCs w:val="20"/>
                <w:color w:val="auto"/>
              </w:rPr>
            </w:pPr>
            <w:r>
              <w:rPr>
                <w:rFonts w:ascii="Arial" w:cs="Arial" w:eastAsia="Arial" w:hAnsi="Arial"/>
                <w:sz w:val="13"/>
                <w:szCs w:val="13"/>
                <w:color w:val="0000FF"/>
                <w:w w:val="92"/>
              </w:rPr>
              <w:t>919</w:t>
            </w:r>
          </w:p>
        </w:tc>
        <w:tc>
          <w:tcPr>
            <w:tcW w:w="280" w:type="dxa"/>
            <w:vAlign w:val="bottom"/>
          </w:tcPr>
          <w:p>
            <w:pPr>
              <w:spacing w:after="0"/>
              <w:rPr>
                <w:sz w:val="6"/>
                <w:szCs w:val="6"/>
                <w:color w:val="auto"/>
              </w:rPr>
            </w:pPr>
          </w:p>
        </w:tc>
        <w:tc>
          <w:tcPr>
            <w:tcW w:w="68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4"/>
              </w:rPr>
              <w:t>824</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jc w:val="center"/>
              <w:ind w:left="239"/>
              <w:spacing w:after="0" w:line="138" w:lineRule="exact"/>
              <w:rPr>
                <w:sz w:val="20"/>
                <w:szCs w:val="20"/>
                <w:color w:val="auto"/>
              </w:rPr>
            </w:pPr>
            <w:r>
              <w:rPr>
                <w:rFonts w:ascii="Arial" w:cs="Arial" w:eastAsia="Arial" w:hAnsi="Arial"/>
                <w:sz w:val="13"/>
                <w:szCs w:val="13"/>
                <w:color w:val="0000FF"/>
                <w:w w:val="92"/>
              </w:rPr>
              <w:t>824</w:t>
            </w:r>
          </w:p>
        </w:tc>
        <w:tc>
          <w:tcPr>
            <w:tcW w:w="280" w:type="dxa"/>
            <w:vAlign w:val="bottom"/>
          </w:tcPr>
          <w:p>
            <w:pPr>
              <w:spacing w:after="0"/>
              <w:rPr>
                <w:sz w:val="6"/>
                <w:szCs w:val="6"/>
                <w:color w:val="auto"/>
              </w:rPr>
            </w:pPr>
          </w:p>
        </w:tc>
        <w:tc>
          <w:tcPr>
            <w:tcW w:w="68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(9)</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-3615690</wp:posOffset>
            </wp:positionV>
            <wp:extent cx="7033260" cy="3602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36029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earned upon the vesting of performance-based restricted stock units awarded to Mr. Johnson on July 14, 2017 under Casey's 2018 fiscal year long-term incentive compensation program.</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Closing price of Casey's Common Stock on June 15, 2020.</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Allocated to Mr. Johnson's 401k plan account as of April 30, 2020. Does not include any shares allocated by the plan trustee after that date.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2009 Stock Incentive Plan. This award vested in full on June 15, 2020.</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following vesting, one share of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2009 Stock Incentive Plan.</w:t>
      </w:r>
    </w:p>
    <w:p>
      <w:pPr>
        <w:spacing w:after="0" w:line="45" w:lineRule="exact"/>
        <w:rPr>
          <w:rFonts w:ascii="Arial" w:cs="Arial" w:eastAsia="Arial" w:hAnsi="Arial"/>
          <w:sz w:val="13"/>
          <w:szCs w:val="13"/>
          <w:color w:val="008000"/>
        </w:rPr>
      </w:pPr>
    </w:p>
    <w:p>
      <w:pPr>
        <w:ind w:left="40" w:right="14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2009 Stock Incentive Plan. This award will vest in full on June 15, 2021. Not included in the reported award amount is a target amount of performance-based restricted stock units that will vest on June 15, 2021,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1" w:lineRule="exact"/>
        <w:rPr>
          <w:rFonts w:ascii="Arial" w:cs="Arial" w:eastAsia="Arial" w:hAnsi="Arial"/>
          <w:sz w:val="13"/>
          <w:szCs w:val="13"/>
          <w:color w:val="008000"/>
        </w:rPr>
      </w:pPr>
    </w:p>
    <w:p>
      <w:pPr>
        <w:ind w:left="40" w:right="14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full on June 15, 2022. Not included in the reported award amount is a target amount of performance-based restricted stock units that will vest on June 15, 2022, but which are subject to the satisfaction of certain performance criteria other than solely the price of Casey's Common Stock; the final amount of shares earned, if any, will be reported upon vest and satisfaction of those performance measures.</w:t>
      </w:r>
    </w:p>
    <w:p>
      <w:pPr>
        <w:sectPr>
          <w:pgSz w:w="11900" w:h="16838" w:orient="portrait"/>
          <w:cols w:equalWidth="0" w:num="1">
            <w:col w:w="11080"/>
          </w:cols>
          <w:pgMar w:left="460" w:top="222" w:right="359" w:bottom="0" w:gutter="0" w:footer="0" w:header="0"/>
          <w:type w:val="continuous"/>
        </w:sectPr>
      </w:pPr>
    </w:p>
    <w:bookmarkStart w:id="1" w:name="page2"/>
    <w:bookmarkEnd w:id="1"/>
    <w:p>
      <w:pPr>
        <w:ind w:firstLine="3"/>
        <w:spacing w:after="0" w:line="270" w:lineRule="auto"/>
        <w:tabs>
          <w:tab w:leader="none" w:pos="13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terms and conditions of 2018 Stock Incentive Plan. This award will vest at a rate of 1/3 of the initial award on each of the first three anniversaries of the award date. Not included in the reported award amount is a target amount of performance-based restricted stock units that will vest on June 15, 2023, but which are subject to the satisfaction of certain performance criteria other than solely the price of Casey's Common Stock; the final amount of shares earned, if any, will be reported upon vest and satisfaction of those performance measures.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Scott Faber, under Power of</w:t>
            </w:r>
          </w:p>
        </w:tc>
        <w:tc>
          <w:tcPr>
            <w:tcW w:w="2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06/17/2020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40" w:type="dxa"/>
            <w:vAlign w:val="bottom"/>
            <w:gridSpan w:val="2"/>
            <w:vMerge w:val="restart"/>
          </w:tcPr>
          <w:p>
            <w:pPr>
              <w:spacing w:after="0" w:line="188" w:lineRule="exact"/>
              <w:rPr>
                <w:sz w:val="20"/>
                <w:szCs w:val="20"/>
                <w:color w:val="auto"/>
              </w:rPr>
            </w:pPr>
            <w:r>
              <w:rPr>
                <w:rFonts w:ascii="Arial" w:cs="Arial" w:eastAsia="Arial" w:hAnsi="Arial"/>
                <w:sz w:val="17"/>
                <w:szCs w:val="17"/>
                <w:color w:val="0000FF"/>
                <w:w w:val="90"/>
              </w:rPr>
              <w:t>Attorney dated March 3, 2017</w:t>
            </w: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360"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76639"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2020-06-17T16:09:07Z</dcterms:created>
  <dcterms:modified xsi:type="dcterms:W3CDTF">2020-06-17T16:09:07Z</dcterms:modified>
</cp:coreProperties>
</file>