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3"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8"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340" w:type="dxa"/>
            <w:vAlign w:val="bottom"/>
          </w:tcPr>
          <w:p>
            <w:pPr>
              <w:jc w:val="center"/>
              <w:ind w:right="15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2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40" w:type="dxa"/>
            <w:vAlign w:val="bottom"/>
            <w:vMerge w:val="restart"/>
          </w:tcPr>
          <w:p>
            <w:pPr>
              <w:jc w:val="center"/>
              <w:ind w:right="155"/>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40" w:type="dxa"/>
            <w:vAlign w:val="bottom"/>
            <w:vMerge w:val="restart"/>
          </w:tcPr>
          <w:p>
            <w:pPr>
              <w:jc w:val="center"/>
              <w:ind w:right="15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4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40" w:type="dxa"/>
            <w:vAlign w:val="bottom"/>
            <w:vMerge w:val="restart"/>
          </w:tcPr>
          <w:p>
            <w:pPr>
              <w:jc w:val="center"/>
              <w:ind w:right="15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5328285</wp:posOffset>
            </wp:positionH>
            <wp:positionV relativeFrom="paragraph">
              <wp:posOffset>-611505</wp:posOffset>
            </wp:positionV>
            <wp:extent cx="8255" cy="6121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12140"/>
                    </a:xfrm>
                    <a:prstGeom prst="rect">
                      <a:avLst/>
                    </a:prstGeom>
                    <a:noFill/>
                  </pic:spPr>
                </pic:pic>
              </a:graphicData>
            </a:graphic>
          </wp:anchor>
        </w:drawing>
        <w:drawing>
          <wp:anchor simplePos="0" relativeHeight="251657728" behindDoc="1" locked="0" layoutInCell="0" allowOverlap="1">
            <wp:simplePos x="0" y="0"/>
            <wp:positionH relativeFrom="column">
              <wp:posOffset>4020820</wp:posOffset>
            </wp:positionH>
            <wp:positionV relativeFrom="paragraph">
              <wp:posOffset>-619760</wp:posOffset>
            </wp:positionV>
            <wp:extent cx="8255" cy="6203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20395"/>
                    </a:xfrm>
                    <a:prstGeom prst="rect">
                      <a:avLst/>
                    </a:prstGeom>
                    <a:noFill/>
                  </pic:spPr>
                </pic:pic>
              </a:graphicData>
            </a:graphic>
          </wp:anchor>
        </w:drawing>
        <w:drawing>
          <wp:anchor simplePos="0" relativeHeight="251657728" behindDoc="1" locked="0" layoutInCell="0" allowOverlap="1">
            <wp:simplePos x="0" y="0"/>
            <wp:positionH relativeFrom="column">
              <wp:posOffset>4045585</wp:posOffset>
            </wp:positionH>
            <wp:positionV relativeFrom="paragraph">
              <wp:posOffset>-594995</wp:posOffset>
            </wp:positionV>
            <wp:extent cx="1266190" cy="5708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6190" cy="57086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-1597025</wp:posOffset>
            </wp:positionH>
            <wp:positionV relativeFrom="paragraph">
              <wp:posOffset>29845</wp:posOffset>
            </wp:positionV>
            <wp:extent cx="6967220" cy="16300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7220" cy="1630045"/>
                    </a:xfrm>
                    <a:prstGeom prst="rect">
                      <a:avLst/>
                    </a:prstGeom>
                    <a:noFill/>
                  </pic:spPr>
                </pic:pic>
              </a:graphicData>
            </a:graphic>
          </wp:anchor>
        </w:drawing>
      </w:r>
    </w:p>
    <w:p>
      <w:pPr>
        <w:spacing w:after="0" w:line="97" w:lineRule="exact"/>
        <w:rPr>
          <w:sz w:val="24"/>
          <w:szCs w:val="24"/>
          <w:color w:val="auto"/>
        </w:rPr>
      </w:pPr>
    </w:p>
    <w:p>
      <w:pPr>
        <w:sectPr>
          <w:pgSz w:w="11900" w:h="16838" w:orient="portrait"/>
          <w:cols w:equalWidth="0" w:num="2">
            <w:col w:w="2280" w:space="240"/>
            <w:col w:w="8560"/>
          </w:cols>
          <w:pgMar w:left="460" w:top="222" w:right="359" w:bottom="1440" w:gutter="0" w:footer="0" w:header="0"/>
        </w:sectPr>
      </w:pPr>
    </w:p>
    <w:p>
      <w:pPr>
        <w:spacing w:after="0" w:line="4"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Butler Adrian M</w:t>
        </w:r>
      </w:hyperlink>
    </w:p>
    <w:p>
      <w:pPr>
        <w:spacing w:after="0" w:line="308"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(Last)</w:t>
            </w:r>
          </w:p>
        </w:tc>
        <w:tc>
          <w:tcPr>
            <w:tcW w:w="1420" w:type="dxa"/>
            <w:vAlign w:val="bottom"/>
          </w:tcPr>
          <w:p>
            <w:pPr>
              <w:ind w:left="240"/>
              <w:spacing w:after="0"/>
              <w:rPr>
                <w:sz w:val="20"/>
                <w:szCs w:val="20"/>
                <w:color w:val="auto"/>
              </w:rPr>
            </w:pPr>
            <w:r>
              <w:rPr>
                <w:rFonts w:ascii="Arial" w:cs="Arial" w:eastAsia="Arial" w:hAnsi="Arial"/>
                <w:sz w:val="13"/>
                <w:szCs w:val="13"/>
                <w:color w:val="auto"/>
              </w:rPr>
              <w:t>(First)</w:t>
            </w:r>
          </w:p>
        </w:tc>
        <w:tc>
          <w:tcPr>
            <w:tcW w:w="1240" w:type="dxa"/>
            <w:vAlign w:val="bottom"/>
          </w:tcPr>
          <w:p>
            <w:pPr>
              <w:ind w:left="60"/>
              <w:spacing w:after="0"/>
              <w:rPr>
                <w:sz w:val="20"/>
                <w:szCs w:val="20"/>
                <w:color w:val="auto"/>
              </w:rPr>
            </w:pPr>
            <w:r>
              <w:rPr>
                <w:rFonts w:ascii="Arial" w:cs="Arial" w:eastAsia="Arial" w:hAnsi="Arial"/>
                <w:sz w:val="13"/>
                <w:szCs w:val="13"/>
                <w:color w:val="auto"/>
              </w:rPr>
              <w:t>(Middle)</w:t>
            </w:r>
          </w:p>
        </w:tc>
      </w:tr>
      <w:tr>
        <w:trPr>
          <w:trHeight w:val="273"/>
        </w:trPr>
        <w:tc>
          <w:tcPr>
            <w:tcW w:w="20" w:type="dxa"/>
            <w:vAlign w:val="bottom"/>
          </w:tcPr>
          <w:p>
            <w:pPr>
              <w:spacing w:after="0"/>
              <w:rPr>
                <w:sz w:val="23"/>
                <w:szCs w:val="23"/>
                <w:color w:val="auto"/>
              </w:rPr>
            </w:pPr>
          </w:p>
        </w:tc>
        <w:tc>
          <w:tcPr>
            <w:tcW w:w="2420" w:type="dxa"/>
            <w:vAlign w:val="bottom"/>
            <w:gridSpan w:val="2"/>
          </w:tcPr>
          <w:p>
            <w:pPr>
              <w:ind w:left="20"/>
              <w:spacing w:after="0"/>
              <w:rPr>
                <w:sz w:val="20"/>
                <w:szCs w:val="20"/>
                <w:color w:val="auto"/>
              </w:rPr>
            </w:pPr>
            <w:r>
              <w:rPr>
                <w:rFonts w:ascii="Arial" w:cs="Arial" w:eastAsia="Arial" w:hAnsi="Arial"/>
                <w:sz w:val="17"/>
                <w:szCs w:val="17"/>
                <w:color w:val="0000FF"/>
                <w:w w:val="96"/>
              </w:rPr>
              <w:t>ONE SE CONVENIENCE BLVD.</w:t>
            </w:r>
          </w:p>
        </w:tc>
        <w:tc>
          <w:tcPr>
            <w:tcW w:w="1240" w:type="dxa"/>
            <w:vAlign w:val="bottom"/>
          </w:tcPr>
          <w:p>
            <w:pPr>
              <w:spacing w:after="0"/>
              <w:rPr>
                <w:sz w:val="23"/>
                <w:szCs w:val="23"/>
                <w:color w:val="auto"/>
              </w:rPr>
            </w:pPr>
          </w:p>
        </w:tc>
      </w:tr>
      <w:tr>
        <w:trPr>
          <w:trHeight w:val="204"/>
        </w:trPr>
        <w:tc>
          <w:tcPr>
            <w:tcW w:w="20" w:type="dxa"/>
            <w:vAlign w:val="bottom"/>
          </w:tcPr>
          <w:p>
            <w:pPr>
              <w:spacing w:after="0"/>
              <w:rPr>
                <w:sz w:val="17"/>
                <w:szCs w:val="17"/>
                <w:color w:val="auto"/>
              </w:rPr>
            </w:pPr>
          </w:p>
        </w:tc>
        <w:tc>
          <w:tcPr>
            <w:tcW w:w="1000" w:type="dxa"/>
            <w:vAlign w:val="bottom"/>
            <w:tcBorders>
              <w:bottom w:val="single" w:sz="8" w:color="9A9A9A"/>
            </w:tcBorders>
          </w:tcPr>
          <w:p>
            <w:pPr>
              <w:spacing w:after="0"/>
              <w:rPr>
                <w:sz w:val="17"/>
                <w:szCs w:val="17"/>
                <w:color w:val="auto"/>
              </w:rPr>
            </w:pPr>
          </w:p>
        </w:tc>
        <w:tc>
          <w:tcPr>
            <w:tcW w:w="1420" w:type="dxa"/>
            <w:vAlign w:val="bottom"/>
            <w:tcBorders>
              <w:bottom w:val="single" w:sz="8" w:color="9A9A9A"/>
            </w:tcBorders>
          </w:tcPr>
          <w:p>
            <w:pPr>
              <w:spacing w:after="0"/>
              <w:rPr>
                <w:sz w:val="17"/>
                <w:szCs w:val="17"/>
                <w:color w:val="auto"/>
              </w:rPr>
            </w:pPr>
          </w:p>
        </w:tc>
        <w:tc>
          <w:tcPr>
            <w:tcW w:w="1240" w:type="dxa"/>
            <w:vAlign w:val="bottom"/>
            <w:tcBorders>
              <w:bottom w:val="single" w:sz="8" w:color="9A9A9A"/>
            </w:tcBorders>
          </w:tcPr>
          <w:p>
            <w:pPr>
              <w:spacing w:after="0"/>
              <w:rPr>
                <w:sz w:val="17"/>
                <w:szCs w:val="17"/>
                <w:color w:val="auto"/>
              </w:rPr>
            </w:pPr>
          </w:p>
        </w:tc>
      </w:tr>
      <w:tr>
        <w:trPr>
          <w:trHeight w:val="260"/>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42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34"/>
        </w:trPr>
        <w:tc>
          <w:tcPr>
            <w:tcW w:w="20" w:type="dxa"/>
            <w:vAlign w:val="bottom"/>
          </w:tcPr>
          <w:p>
            <w:pPr>
              <w:spacing w:after="0"/>
              <w:rPr>
                <w:sz w:val="20"/>
                <w:szCs w:val="20"/>
                <w:color w:val="auto"/>
              </w:rPr>
            </w:pPr>
          </w:p>
        </w:tc>
        <w:tc>
          <w:tcPr>
            <w:tcW w:w="1000" w:type="dxa"/>
            <w:vAlign w:val="bottom"/>
          </w:tcPr>
          <w:p>
            <w:pPr>
              <w:ind w:left="20"/>
              <w:spacing w:after="0"/>
              <w:rPr>
                <w:sz w:val="20"/>
                <w:szCs w:val="20"/>
                <w:color w:val="auto"/>
              </w:rPr>
            </w:pPr>
            <w:r>
              <w:rPr>
                <w:rFonts w:ascii="Arial" w:cs="Arial" w:eastAsia="Arial" w:hAnsi="Arial"/>
                <w:sz w:val="17"/>
                <w:szCs w:val="17"/>
                <w:color w:val="0000FF"/>
              </w:rPr>
              <w:t>ANKENY</w:t>
            </w:r>
          </w:p>
        </w:tc>
        <w:tc>
          <w:tcPr>
            <w:tcW w:w="1420" w:type="dxa"/>
            <w:vAlign w:val="bottom"/>
          </w:tcPr>
          <w:p>
            <w:pPr>
              <w:ind w:left="240"/>
              <w:spacing w:after="0"/>
              <w:rPr>
                <w:sz w:val="20"/>
                <w:szCs w:val="20"/>
                <w:color w:val="auto"/>
              </w:rPr>
            </w:pPr>
            <w:r>
              <w:rPr>
                <w:rFonts w:ascii="Arial" w:cs="Arial" w:eastAsia="Arial" w:hAnsi="Arial"/>
                <w:sz w:val="17"/>
                <w:szCs w:val="17"/>
                <w:color w:val="0000FF"/>
              </w:rPr>
              <w:t>IA</w:t>
            </w:r>
          </w:p>
        </w:tc>
        <w:tc>
          <w:tcPr>
            <w:tcW w:w="1240" w:type="dxa"/>
            <w:vAlign w:val="bottom"/>
          </w:tcPr>
          <w:p>
            <w:pPr>
              <w:ind w:left="60"/>
              <w:spacing w:after="0"/>
              <w:rPr>
                <w:sz w:val="20"/>
                <w:szCs w:val="20"/>
                <w:color w:val="auto"/>
              </w:rPr>
            </w:pPr>
            <w:r>
              <w:rPr>
                <w:rFonts w:ascii="Arial" w:cs="Arial" w:eastAsia="Arial" w:hAnsi="Arial"/>
                <w:sz w:val="17"/>
                <w:szCs w:val="17"/>
                <w:color w:val="0000FF"/>
              </w:rPr>
              <w:t>50021</w:t>
            </w:r>
          </w:p>
        </w:tc>
      </w:tr>
      <w:tr>
        <w:trPr>
          <w:trHeight w:val="152"/>
        </w:trPr>
        <w:tc>
          <w:tcPr>
            <w:tcW w:w="2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r>
      <w:tr>
        <w:trPr>
          <w:trHeight w:val="299"/>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420" w:type="dxa"/>
            <w:vAlign w:val="bottom"/>
          </w:tcPr>
          <w:p>
            <w:pPr>
              <w:ind w:left="240"/>
              <w:spacing w:after="0"/>
              <w:rPr>
                <w:sz w:val="20"/>
                <w:szCs w:val="20"/>
                <w:color w:val="auto"/>
              </w:rPr>
            </w:pPr>
            <w:r>
              <w:rPr>
                <w:rFonts w:ascii="Arial" w:cs="Arial" w:eastAsia="Arial" w:hAnsi="Arial"/>
                <w:sz w:val="13"/>
                <w:szCs w:val="13"/>
                <w:color w:val="auto"/>
              </w:rPr>
              <w:t>(State)</w:t>
            </w:r>
          </w:p>
        </w:tc>
        <w:tc>
          <w:tcPr>
            <w:tcW w:w="1240" w:type="dxa"/>
            <w:vAlign w:val="bottom"/>
          </w:tcPr>
          <w:p>
            <w:pPr>
              <w:ind w:left="6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204"/>
        </w:trPr>
        <w:tc>
          <w:tcPr>
            <w:tcW w:w="3840" w:type="dxa"/>
            <w:vAlign w:val="bottom"/>
            <w:gridSpan w:val="2"/>
          </w:tcPr>
          <w:p>
            <w:pPr>
              <w:ind w:left="80"/>
              <w:spacing w:after="0" w:line="204" w:lineRule="exact"/>
              <w:rPr>
                <w:rFonts w:ascii="Arial" w:cs="Arial" w:eastAsia="Arial" w:hAnsi="Arial"/>
                <w:sz w:val="21"/>
                <w:szCs w:val="21"/>
                <w:color w:val="0000EE"/>
                <w:w w:val="96"/>
              </w:rPr>
            </w:pPr>
            <w:hyperlink r:id="rId14">
              <w:r>
                <w:rPr>
                  <w:rFonts w:ascii="Arial" w:cs="Arial" w:eastAsia="Arial" w:hAnsi="Arial"/>
                  <w:sz w:val="21"/>
                  <w:szCs w:val="21"/>
                  <w:u w:val="single" w:color="auto"/>
                  <w:color w:val="0000EE"/>
                  <w:w w:val="96"/>
                </w:rPr>
                <w:t>CASEYS GENERAL STORES INC</w:t>
              </w:r>
              <w:r>
                <w:rPr>
                  <w:rFonts w:ascii="Arial" w:cs="Arial" w:eastAsia="Arial" w:hAnsi="Arial"/>
                  <w:sz w:val="21"/>
                  <w:szCs w:val="21"/>
                  <w:color w:val="0000EE"/>
                  <w:w w:val="96"/>
                </w:rPr>
                <w:t xml:space="preserve"> </w:t>
              </w:r>
            </w:hyperlink>
            <w:r>
              <w:rPr>
                <w:rFonts w:ascii="Arial" w:cs="Arial" w:eastAsia="Arial" w:hAnsi="Arial"/>
                <w:sz w:val="21"/>
                <w:szCs w:val="21"/>
                <w:color w:val="000000"/>
                <w:w w:val="96"/>
              </w:rPr>
              <w:t>[</w:t>
            </w:r>
            <w:r>
              <w:rPr>
                <w:rFonts w:ascii="Arial" w:cs="Arial" w:eastAsia="Arial" w:hAnsi="Arial"/>
                <w:sz w:val="21"/>
                <w:szCs w:val="21"/>
                <w:color w:val="0000EE"/>
                <w:w w:val="96"/>
              </w:rPr>
              <w:t xml:space="preserve"> </w:t>
            </w:r>
            <w:r>
              <w:rPr>
                <w:rFonts w:ascii="Arial" w:cs="Arial" w:eastAsia="Arial" w:hAnsi="Arial"/>
                <w:sz w:val="16"/>
                <w:szCs w:val="16"/>
                <w:color w:val="0000FF"/>
                <w:w w:val="96"/>
              </w:rPr>
              <w:t>CASY</w:t>
            </w:r>
          </w:p>
        </w:tc>
        <w:tc>
          <w:tcPr>
            <w:tcW w:w="184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6"/>
        </w:trPr>
        <w:tc>
          <w:tcPr>
            <w:tcW w:w="200" w:type="dxa"/>
            <w:vAlign w:val="bottom"/>
            <w:vMerge w:val="restart"/>
          </w:tcPr>
          <w:p>
            <w:pPr>
              <w:ind w:left="80"/>
              <w:spacing w:after="0"/>
              <w:rPr>
                <w:sz w:val="20"/>
                <w:szCs w:val="20"/>
                <w:color w:val="auto"/>
              </w:rPr>
            </w:pPr>
            <w:r>
              <w:rPr>
                <w:rFonts w:ascii="Arial" w:cs="Arial" w:eastAsia="Arial" w:hAnsi="Arial"/>
                <w:sz w:val="21"/>
                <w:szCs w:val="21"/>
                <w:color w:val="auto"/>
              </w:rPr>
              <w:t>]</w:t>
            </w:r>
          </w:p>
        </w:tc>
        <w:tc>
          <w:tcPr>
            <w:tcW w:w="36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200" w:type="dxa"/>
            <w:vAlign w:val="bottom"/>
            <w:vMerge w:val="continue"/>
          </w:tcPr>
          <w:p>
            <w:pPr>
              <w:spacing w:after="0"/>
              <w:rPr>
                <w:sz w:val="12"/>
                <w:szCs w:val="12"/>
                <w:color w:val="auto"/>
              </w:rPr>
            </w:pPr>
          </w:p>
        </w:tc>
        <w:tc>
          <w:tcPr>
            <w:tcW w:w="3640" w:type="dxa"/>
            <w:vAlign w:val="bottom"/>
          </w:tcPr>
          <w:p>
            <w:pPr>
              <w:spacing w:after="0"/>
              <w:rPr>
                <w:sz w:val="12"/>
                <w:szCs w:val="12"/>
                <w:color w:val="auto"/>
              </w:rPr>
            </w:pPr>
          </w:p>
        </w:tc>
        <w:tc>
          <w:tcPr>
            <w:tcW w:w="480" w:type="dxa"/>
            <w:vAlign w:val="bottom"/>
            <w:vMerge w:val="restart"/>
          </w:tcPr>
          <w:p>
            <w:pPr>
              <w:ind w:left="260"/>
              <w:spacing w:after="0"/>
              <w:rPr>
                <w:sz w:val="20"/>
                <w:szCs w:val="20"/>
                <w:color w:val="auto"/>
              </w:rPr>
            </w:pPr>
            <w:r>
              <w:rPr>
                <w:rFonts w:ascii="Arial" w:cs="Arial" w:eastAsia="Arial" w:hAnsi="Arial"/>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2"/>
        </w:trPr>
        <w:tc>
          <w:tcPr>
            <w:tcW w:w="200" w:type="dxa"/>
            <w:vAlign w:val="bottom"/>
          </w:tcPr>
          <w:p>
            <w:pPr>
              <w:spacing w:after="0"/>
              <w:rPr>
                <w:sz w:val="3"/>
                <w:szCs w:val="3"/>
                <w:color w:val="auto"/>
              </w:rPr>
            </w:pPr>
          </w:p>
        </w:tc>
        <w:tc>
          <w:tcPr>
            <w:tcW w:w="3640" w:type="dxa"/>
            <w:vAlign w:val="bottom"/>
          </w:tcPr>
          <w:p>
            <w:pPr>
              <w:spacing w:after="0"/>
              <w:rPr>
                <w:sz w:val="3"/>
                <w:szCs w:val="3"/>
                <w:color w:val="auto"/>
              </w:rPr>
            </w:pPr>
          </w:p>
        </w:tc>
        <w:tc>
          <w:tcPr>
            <w:tcW w:w="480" w:type="dxa"/>
            <w:vAlign w:val="bottom"/>
            <w:vMerge w:val="continue"/>
          </w:tcPr>
          <w:p>
            <w:pPr>
              <w:spacing w:after="0"/>
              <w:rPr>
                <w:sz w:val="3"/>
                <w:szCs w:val="3"/>
                <w:color w:val="auto"/>
              </w:rPr>
            </w:pPr>
          </w:p>
        </w:tc>
        <w:tc>
          <w:tcPr>
            <w:tcW w:w="1360" w:type="dxa"/>
            <w:vAlign w:val="bottom"/>
            <w:vMerge w:val="continue"/>
          </w:tcPr>
          <w:p>
            <w:pPr>
              <w:spacing w:after="0"/>
              <w:rPr>
                <w:sz w:val="3"/>
                <w:szCs w:val="3"/>
                <w:color w:val="auto"/>
              </w:rPr>
            </w:pPr>
          </w:p>
        </w:tc>
        <w:tc>
          <w:tcPr>
            <w:tcW w:w="14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85"/>
        </w:trPr>
        <w:tc>
          <w:tcPr>
            <w:tcW w:w="200" w:type="dxa"/>
            <w:vAlign w:val="bottom"/>
            <w:tcBorders>
              <w:bottom w:val="single" w:sz="8" w:color="2C2C2C"/>
            </w:tcBorders>
          </w:tcPr>
          <w:p>
            <w:pPr>
              <w:spacing w:after="0"/>
              <w:rPr>
                <w:sz w:val="7"/>
                <w:szCs w:val="7"/>
                <w:color w:val="auto"/>
              </w:rPr>
            </w:pPr>
          </w:p>
        </w:tc>
        <w:tc>
          <w:tcPr>
            <w:tcW w:w="3640" w:type="dxa"/>
            <w:vAlign w:val="bottom"/>
            <w:tcBorders>
              <w:bottom w:val="single" w:sz="8" w:color="2C2C2C"/>
            </w:tcBorders>
          </w:tcPr>
          <w:p>
            <w:pPr>
              <w:spacing w:after="0"/>
              <w:rPr>
                <w:sz w:val="7"/>
                <w:szCs w:val="7"/>
                <w:color w:val="auto"/>
              </w:rPr>
            </w:pPr>
          </w:p>
        </w:tc>
        <w:tc>
          <w:tcPr>
            <w:tcW w:w="480" w:type="dxa"/>
            <w:vAlign w:val="bottom"/>
            <w:vMerge w:val="continue"/>
          </w:tcPr>
          <w:p>
            <w:pPr>
              <w:spacing w:after="0"/>
              <w:rPr>
                <w:sz w:val="7"/>
                <w:szCs w:val="7"/>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1"/>
        </w:trPr>
        <w:tc>
          <w:tcPr>
            <w:tcW w:w="200" w:type="dxa"/>
            <w:vAlign w:val="bottom"/>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48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6"/>
        </w:trPr>
        <w:tc>
          <w:tcPr>
            <w:tcW w:w="200" w:type="dxa"/>
            <w:vAlign w:val="bottom"/>
            <w:vMerge w:val="continue"/>
          </w:tcPr>
          <w:p>
            <w:pPr>
              <w:spacing w:after="0"/>
              <w:rPr>
                <w:sz w:val="11"/>
                <w:szCs w:val="11"/>
                <w:color w:val="auto"/>
              </w:rPr>
            </w:pPr>
          </w:p>
        </w:tc>
        <w:tc>
          <w:tcPr>
            <w:tcW w:w="3640" w:type="dxa"/>
            <w:vAlign w:val="bottom"/>
            <w:vMerge w:val="continue"/>
          </w:tcPr>
          <w:p>
            <w:pPr>
              <w:spacing w:after="0"/>
              <w:rPr>
                <w:sz w:val="11"/>
                <w:szCs w:val="11"/>
                <w:color w:val="auto"/>
              </w:rPr>
            </w:pPr>
          </w:p>
        </w:tc>
        <w:tc>
          <w:tcPr>
            <w:tcW w:w="480" w:type="dxa"/>
            <w:vAlign w:val="bottom"/>
          </w:tcPr>
          <w:p>
            <w:pPr>
              <w:spacing w:after="0"/>
              <w:rPr>
                <w:sz w:val="11"/>
                <w:szCs w:val="11"/>
                <w:color w:val="auto"/>
              </w:rPr>
            </w:pPr>
          </w:p>
        </w:tc>
        <w:tc>
          <w:tcPr>
            <w:tcW w:w="2800" w:type="dxa"/>
            <w:vAlign w:val="bottom"/>
            <w:gridSpan w:val="2"/>
            <w:vMerge w:val="restart"/>
          </w:tcPr>
          <w:p>
            <w:pPr>
              <w:ind w:left="280"/>
              <w:spacing w:after="0"/>
              <w:rPr>
                <w:sz w:val="20"/>
                <w:szCs w:val="20"/>
                <w:color w:val="auto"/>
              </w:rPr>
            </w:pPr>
            <w:r>
              <w:rPr>
                <w:rFonts w:ascii="Arial" w:cs="Arial" w:eastAsia="Arial" w:hAnsi="Arial"/>
                <w:sz w:val="17"/>
                <w:szCs w:val="17"/>
                <w:color w:val="0000FF"/>
              </w:rPr>
              <w:t>Chief Information Officer</w:t>
            </w:r>
          </w:p>
        </w:tc>
        <w:tc>
          <w:tcPr>
            <w:tcW w:w="0" w:type="dxa"/>
            <w:vAlign w:val="bottom"/>
          </w:tcPr>
          <w:p>
            <w:pPr>
              <w:spacing w:after="0"/>
              <w:rPr>
                <w:sz w:val="1"/>
                <w:szCs w:val="1"/>
                <w:color w:val="auto"/>
              </w:rPr>
            </w:pPr>
          </w:p>
        </w:tc>
      </w:tr>
      <w:tr>
        <w:trPr>
          <w:trHeight w:val="111"/>
        </w:trPr>
        <w:tc>
          <w:tcPr>
            <w:tcW w:w="3840" w:type="dxa"/>
            <w:vAlign w:val="bottom"/>
            <w:gridSpan w:val="2"/>
            <w:vMerge w:val="restart"/>
          </w:tcPr>
          <w:p>
            <w:pPr>
              <w:ind w:left="80"/>
              <w:spacing w:after="0"/>
              <w:rPr>
                <w:sz w:val="20"/>
                <w:szCs w:val="20"/>
                <w:color w:val="auto"/>
              </w:rPr>
            </w:pPr>
            <w:r>
              <w:rPr>
                <w:rFonts w:ascii="Arial" w:cs="Arial" w:eastAsia="Arial" w:hAnsi="Arial"/>
                <w:sz w:val="17"/>
                <w:szCs w:val="17"/>
                <w:color w:val="0000FF"/>
              </w:rPr>
              <w:t>06/02/2020</w:t>
            </w:r>
          </w:p>
        </w:tc>
        <w:tc>
          <w:tcPr>
            <w:tcW w:w="480" w:type="dxa"/>
            <w:vAlign w:val="bottom"/>
          </w:tcPr>
          <w:p>
            <w:pPr>
              <w:spacing w:after="0"/>
              <w:rPr>
                <w:sz w:val="9"/>
                <w:szCs w:val="9"/>
                <w:color w:val="auto"/>
              </w:rPr>
            </w:pPr>
          </w:p>
        </w:tc>
        <w:tc>
          <w:tcPr>
            <w:tcW w:w="28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3840" w:type="dxa"/>
            <w:vAlign w:val="bottom"/>
            <w:gridSpan w:val="2"/>
            <w:vMerge w:val="continue"/>
          </w:tcPr>
          <w:p>
            <w:pPr>
              <w:spacing w:after="0"/>
              <w:rPr>
                <w:sz w:val="9"/>
                <w:szCs w:val="9"/>
                <w:color w:val="auto"/>
              </w:rPr>
            </w:pPr>
          </w:p>
        </w:tc>
        <w:tc>
          <w:tcPr>
            <w:tcW w:w="48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200" w:type="dxa"/>
            <w:vAlign w:val="bottom"/>
            <w:tcBorders>
              <w:bottom w:val="single" w:sz="8" w:color="2C2C2C"/>
            </w:tcBorders>
          </w:tcPr>
          <w:p>
            <w:pPr>
              <w:spacing w:after="0"/>
              <w:rPr>
                <w:sz w:val="10"/>
                <w:szCs w:val="10"/>
                <w:color w:val="auto"/>
              </w:rPr>
            </w:pPr>
          </w:p>
        </w:tc>
        <w:tc>
          <w:tcPr>
            <w:tcW w:w="3640" w:type="dxa"/>
            <w:vAlign w:val="bottom"/>
            <w:tcBorders>
              <w:bottom w:val="single" w:sz="8" w:color="2C2C2C"/>
            </w:tcBorders>
          </w:tcPr>
          <w:p>
            <w:pPr>
              <w:spacing w:after="0"/>
              <w:rPr>
                <w:sz w:val="10"/>
                <w:szCs w:val="10"/>
                <w:color w:val="auto"/>
              </w:rPr>
            </w:pPr>
          </w:p>
        </w:tc>
        <w:tc>
          <w:tcPr>
            <w:tcW w:w="3280" w:type="dxa"/>
            <w:vAlign w:val="bottom"/>
            <w:tcBorders>
              <w:bottom w:val="single" w:sz="8" w:color="2C2C2C"/>
            </w:tcBorders>
            <w:gridSpan w:val="3"/>
          </w:tcPr>
          <w:p>
            <w:pPr>
              <w:spacing w:after="0"/>
              <w:rPr>
                <w:sz w:val="10"/>
                <w:szCs w:val="10"/>
                <w:color w:val="auto"/>
              </w:rPr>
            </w:pPr>
          </w:p>
        </w:tc>
        <w:tc>
          <w:tcPr>
            <w:tcW w:w="0" w:type="dxa"/>
            <w:vAlign w:val="bottom"/>
          </w:tcPr>
          <w:p>
            <w:pPr>
              <w:spacing w:after="0"/>
              <w:rPr>
                <w:sz w:val="1"/>
                <w:szCs w:val="1"/>
                <w:color w:val="auto"/>
              </w:rPr>
            </w:pPr>
          </w:p>
        </w:tc>
      </w:tr>
      <w:tr>
        <w:trPr>
          <w:trHeight w:val="195"/>
        </w:trPr>
        <w:tc>
          <w:tcPr>
            <w:tcW w:w="200" w:type="dxa"/>
            <w:vAlign w:val="bottom"/>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22" w:lineRule="auto"/>
        <w:tabs>
          <w:tab w:leader="none" w:pos="44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7"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ind w:left="444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-2435225</wp:posOffset>
            </wp:positionH>
            <wp:positionV relativeFrom="paragraph">
              <wp:posOffset>153670</wp:posOffset>
            </wp:positionV>
            <wp:extent cx="6967220" cy="8851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7220" cy="885190"/>
                    </a:xfrm>
                    <a:prstGeom prst="rect">
                      <a:avLst/>
                    </a:prstGeom>
                    <a:noFill/>
                  </pic:spPr>
                </pic:pic>
              </a:graphicData>
            </a:graphic>
          </wp:anchor>
        </w:drawing>
      </w:r>
    </w:p>
    <w:p>
      <w:pPr>
        <w:spacing w:after="0" w:line="303" w:lineRule="exact"/>
        <w:rPr>
          <w:sz w:val="24"/>
          <w:szCs w:val="24"/>
          <w:color w:val="auto"/>
        </w:rPr>
      </w:pPr>
    </w:p>
    <w:p>
      <w:pPr>
        <w:sectPr>
          <w:pgSz w:w="11900" w:h="16838" w:orient="portrait"/>
          <w:cols w:equalWidth="0" w:num="2">
            <w:col w:w="3760" w:space="80"/>
            <w:col w:w="724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5"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00" w:type="dxa"/>
            <w:vAlign w:val="bottom"/>
          </w:tcPr>
          <w:p>
            <w:pPr>
              <w:ind w:left="760"/>
              <w:spacing w:after="0" w:line="128"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00" w:type="dxa"/>
            <w:vAlign w:val="bottom"/>
          </w:tcPr>
          <w:p>
            <w:pPr>
              <w:ind w:left="7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50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50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500" w:type="dxa"/>
            <w:vAlign w:val="bottom"/>
          </w:tcPr>
          <w:p>
            <w:pPr>
              <w:spacing w:after="0"/>
              <w:rPr>
                <w:sz w:val="7"/>
                <w:szCs w:val="7"/>
                <w:color w:val="auto"/>
              </w:rPr>
            </w:pPr>
          </w:p>
        </w:tc>
        <w:tc>
          <w:tcPr>
            <w:tcW w:w="1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7"/>
                <w:szCs w:val="7"/>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250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0"/>
        </w:trPr>
        <w:tc>
          <w:tcPr>
            <w:tcW w:w="20" w:type="dxa"/>
            <w:vAlign w:val="bottom"/>
            <w:tcBorders>
              <w:bottom w:val="single" w:sz="8" w:color="2C2C2C"/>
            </w:tcBorders>
          </w:tcPr>
          <w:p>
            <w:pPr>
              <w:spacing w:after="0"/>
              <w:rPr>
                <w:sz w:val="6"/>
                <w:szCs w:val="6"/>
                <w:color w:val="auto"/>
              </w:rPr>
            </w:pPr>
          </w:p>
        </w:tc>
        <w:tc>
          <w:tcPr>
            <w:tcW w:w="2500" w:type="dxa"/>
            <w:vAlign w:val="bottom"/>
            <w:tcBorders>
              <w:bottom w:val="single" w:sz="8" w:color="2C2C2C"/>
            </w:tcBorders>
          </w:tcPr>
          <w:p>
            <w:pPr>
              <w:spacing w:after="0"/>
              <w:rPr>
                <w:sz w:val="6"/>
                <w:szCs w:val="6"/>
                <w:color w:val="auto"/>
              </w:rPr>
            </w:pPr>
          </w:p>
        </w:tc>
        <w:tc>
          <w:tcPr>
            <w:tcW w:w="1800" w:type="dxa"/>
            <w:vAlign w:val="bottom"/>
            <w:tcBorders>
              <w:bottom w:val="single" w:sz="8" w:color="2C2C2C"/>
            </w:tcBorders>
          </w:tcPr>
          <w:p>
            <w:pPr>
              <w:spacing w:after="0"/>
              <w:rPr>
                <w:sz w:val="6"/>
                <w:szCs w:val="6"/>
                <w:color w:val="auto"/>
              </w:rPr>
            </w:pPr>
          </w:p>
        </w:tc>
        <w:tc>
          <w:tcPr>
            <w:tcW w:w="11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500" w:type="dxa"/>
            <w:vAlign w:val="bottom"/>
            <w:tcBorders>
              <w:top w:val="single" w:sz="8" w:color="808080"/>
            </w:tcBorders>
            <w:shd w:val="clear" w:color="auto" w:fill="2C2C2C"/>
          </w:tcPr>
          <w:p>
            <w:pPr>
              <w:spacing w:after="0" w:line="20" w:lineRule="exact"/>
              <w:rPr>
                <w:sz w:val="1"/>
                <w:szCs w:val="1"/>
                <w:color w:val="auto"/>
              </w:rPr>
            </w:pPr>
          </w:p>
        </w:tc>
        <w:tc>
          <w:tcPr>
            <w:tcW w:w="1800" w:type="dxa"/>
            <w:vAlign w:val="bottom"/>
            <w:tcBorders>
              <w:top w:val="single" w:sz="8" w:color="808080"/>
            </w:tcBorders>
            <w:shd w:val="clear" w:color="auto" w:fill="2C2C2C"/>
          </w:tcPr>
          <w:p>
            <w:pPr>
              <w:spacing w:after="0" w:line="20" w:lineRule="exact"/>
              <w:rPr>
                <w:sz w:val="1"/>
                <w:szCs w:val="1"/>
                <w:color w:val="auto"/>
              </w:rPr>
            </w:pPr>
          </w:p>
        </w:tc>
        <w:tc>
          <w:tcPr>
            <w:tcW w:w="1100" w:type="dxa"/>
            <w:vAlign w:val="bottom"/>
            <w:tcBorders>
              <w:top w:val="single" w:sz="8" w:color="808080"/>
            </w:tcBorders>
            <w:shd w:val="clear" w:color="auto" w:fill="2C2C2C"/>
          </w:tcPr>
          <w:p>
            <w:pPr>
              <w:spacing w:after="0" w:line="20" w:lineRule="exact"/>
              <w:rPr>
                <w:sz w:val="1"/>
                <w:szCs w:val="1"/>
                <w:color w:val="auto"/>
              </w:rPr>
            </w:pPr>
          </w:p>
        </w:tc>
        <w:tc>
          <w:tcPr>
            <w:tcW w:w="780" w:type="dxa"/>
            <w:vAlign w:val="bottom"/>
            <w:tcBorders>
              <w:top w:val="single" w:sz="8" w:color="808080"/>
            </w:tcBorders>
            <w:shd w:val="clear" w:color="auto" w:fill="2C2C2C"/>
          </w:tcPr>
          <w:p>
            <w:pPr>
              <w:spacing w:after="0" w:line="20" w:lineRule="exact"/>
              <w:rPr>
                <w:sz w:val="1"/>
                <w:szCs w:val="1"/>
                <w:color w:val="auto"/>
              </w:rPr>
            </w:pPr>
          </w:p>
        </w:tc>
        <w:tc>
          <w:tcPr>
            <w:tcW w:w="680" w:type="dxa"/>
            <w:vAlign w:val="bottom"/>
            <w:tcBorders>
              <w:top w:val="single" w:sz="8" w:color="808080"/>
            </w:tcBorders>
            <w:shd w:val="clear" w:color="auto" w:fill="2C2C2C"/>
          </w:tcPr>
          <w:p>
            <w:pPr>
              <w:spacing w:after="0" w:line="20" w:lineRule="exact"/>
              <w:rPr>
                <w:sz w:val="1"/>
                <w:szCs w:val="1"/>
                <w:color w:val="auto"/>
              </w:rPr>
            </w:pPr>
          </w:p>
        </w:tc>
        <w:tc>
          <w:tcPr>
            <w:tcW w:w="600" w:type="dxa"/>
            <w:vAlign w:val="bottom"/>
            <w:tcBorders>
              <w:top w:val="single" w:sz="8" w:color="808080"/>
            </w:tcBorders>
            <w:shd w:val="clear" w:color="auto" w:fill="2C2C2C"/>
          </w:tcPr>
          <w:p>
            <w:pPr>
              <w:spacing w:after="0" w:line="20" w:lineRule="exact"/>
              <w:rPr>
                <w:sz w:val="1"/>
                <w:szCs w:val="1"/>
                <w:color w:val="auto"/>
              </w:rPr>
            </w:pPr>
          </w:p>
        </w:tc>
        <w:tc>
          <w:tcPr>
            <w:tcW w:w="62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94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7033260" cy="24987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3260" cy="2498725"/>
                    </a:xfrm>
                    <a:prstGeom prst="rect">
                      <a:avLst/>
                    </a:prstGeom>
                    <a:noFill/>
                  </pic:spPr>
                </pic:pic>
              </a:graphicData>
            </a:graphic>
          </wp:anchor>
        </w:drawing>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4"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1"/>
                <w:szCs w:val="11"/>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5"/>
              </w:rPr>
              <w:t>Expiration</w:t>
            </w: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70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20" w:type="dxa"/>
            <w:vAlign w:val="bottom"/>
            <w:vMerge w:val="restart"/>
          </w:tcPr>
          <w:p>
            <w:pPr>
              <w:jc w:val="right"/>
              <w:ind w:right="94"/>
              <w:spacing w:after="0"/>
              <w:rPr>
                <w:sz w:val="20"/>
                <w:szCs w:val="20"/>
                <w:color w:val="auto"/>
              </w:rPr>
            </w:pPr>
            <w:r>
              <w:rPr>
                <w:rFonts w:ascii="Arial" w:cs="Arial" w:eastAsia="Arial" w:hAnsi="Arial"/>
                <w:sz w:val="17"/>
                <w:szCs w:val="17"/>
                <w:color w:val="0000FF"/>
              </w:rPr>
              <w:t>864</w:t>
            </w:r>
          </w:p>
        </w:tc>
        <w:tc>
          <w:tcPr>
            <w:tcW w:w="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700" w:type="dxa"/>
            <w:vAlign w:val="bottom"/>
            <w:vMerge w:val="restart"/>
          </w:tcPr>
          <w:p>
            <w:pPr>
              <w:ind w:left="60"/>
              <w:spacing w:after="0" w:line="139" w:lineRule="exact"/>
              <w:rPr>
                <w:sz w:val="20"/>
                <w:szCs w:val="20"/>
                <w:color w:val="auto"/>
              </w:rPr>
            </w:pPr>
            <w:r>
              <w:rPr>
                <w:rFonts w:ascii="Arial" w:cs="Arial" w:eastAsia="Arial" w:hAnsi="Arial"/>
                <w:sz w:val="13"/>
                <w:szCs w:val="13"/>
                <w:color w:val="0000FF"/>
              </w:rPr>
              <w:t>stock</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(2)</w:t>
            </w:r>
          </w:p>
        </w:tc>
        <w:tc>
          <w:tcPr>
            <w:tcW w:w="1100" w:type="dxa"/>
            <w:vAlign w:val="bottom"/>
            <w:vMerge w:val="restart"/>
          </w:tcPr>
          <w:p>
            <w:pPr>
              <w:jc w:val="right"/>
              <w:ind w:right="200"/>
              <w:spacing w:after="0" w:line="139" w:lineRule="exact"/>
              <w:rPr>
                <w:sz w:val="20"/>
                <w:szCs w:val="20"/>
                <w:color w:val="auto"/>
              </w:rPr>
            </w:pPr>
            <w:r>
              <w:rPr>
                <w:rFonts w:ascii="Arial" w:cs="Arial" w:eastAsia="Arial" w:hAnsi="Arial"/>
                <w:sz w:val="13"/>
                <w:szCs w:val="13"/>
                <w:color w:val="0000FF"/>
              </w:rPr>
              <w:t>06/02/2020</w:t>
            </w:r>
          </w:p>
        </w:tc>
        <w:tc>
          <w:tcPr>
            <w:tcW w:w="1100" w:type="dxa"/>
            <w:vAlign w:val="bottom"/>
          </w:tcPr>
          <w:p>
            <w:pPr>
              <w:spacing w:after="0"/>
              <w:rPr>
                <w:sz w:val="6"/>
                <w:szCs w:val="6"/>
                <w:color w:val="auto"/>
              </w:rPr>
            </w:pPr>
          </w:p>
        </w:tc>
        <w:tc>
          <w:tcPr>
            <w:tcW w:w="800" w:type="dxa"/>
            <w:vAlign w:val="bottom"/>
            <w:vMerge w:val="restart"/>
          </w:tcPr>
          <w:p>
            <w:pPr>
              <w:ind w:left="160"/>
              <w:spacing w:after="0" w:line="139" w:lineRule="exact"/>
              <w:rPr>
                <w:sz w:val="20"/>
                <w:szCs w:val="20"/>
                <w:color w:val="auto"/>
              </w:rPr>
            </w:pPr>
            <w:r>
              <w:rPr>
                <w:rFonts w:ascii="Arial" w:cs="Arial" w:eastAsia="Arial" w:hAnsi="Arial"/>
                <w:sz w:val="13"/>
                <w:szCs w:val="13"/>
                <w:color w:val="0000FF"/>
              </w:rPr>
              <w:t>A</w:t>
            </w:r>
          </w:p>
        </w:tc>
        <w:tc>
          <w:tcPr>
            <w:tcW w:w="720" w:type="dxa"/>
            <w:vAlign w:val="bottom"/>
            <w:vMerge w:val="restart"/>
          </w:tcPr>
          <w:p>
            <w:pPr>
              <w:ind w:left="100"/>
              <w:spacing w:after="0" w:line="139" w:lineRule="exact"/>
              <w:rPr>
                <w:sz w:val="20"/>
                <w:szCs w:val="20"/>
                <w:color w:val="auto"/>
              </w:rPr>
            </w:pPr>
            <w:r>
              <w:rPr>
                <w:rFonts w:ascii="Arial" w:cs="Arial" w:eastAsia="Arial" w:hAnsi="Arial"/>
                <w:sz w:val="13"/>
                <w:szCs w:val="13"/>
                <w:color w:val="0000FF"/>
              </w:rPr>
              <w:t>864</w:t>
            </w:r>
          </w:p>
        </w:tc>
        <w:tc>
          <w:tcPr>
            <w:tcW w:w="78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720" w:type="dxa"/>
            <w:vAlign w:val="bottom"/>
            <w:vMerge w:val="restart"/>
          </w:tcPr>
          <w:p>
            <w:pPr>
              <w:jc w:val="center"/>
              <w:spacing w:after="0"/>
              <w:rPr>
                <w:sz w:val="20"/>
                <w:szCs w:val="20"/>
                <w:color w:val="auto"/>
              </w:rPr>
            </w:pPr>
            <w:r>
              <w:rPr>
                <w:rFonts w:ascii="Arial" w:cs="Arial" w:eastAsia="Arial" w:hAnsi="Arial"/>
                <w:sz w:val="11"/>
                <w:szCs w:val="11"/>
                <w:color w:val="008000"/>
              </w:rPr>
              <w:t>(1)</w:t>
            </w:r>
          </w:p>
        </w:tc>
        <w:tc>
          <w:tcPr>
            <w:tcW w:w="70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700" w:type="dxa"/>
            <w:vAlign w:val="bottom"/>
            <w:vMerge w:val="restart"/>
          </w:tcPr>
          <w:p>
            <w:pPr>
              <w:ind w:left="280"/>
              <w:spacing w:after="0" w:line="139"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40" w:type="dxa"/>
            <w:vAlign w:val="bottom"/>
            <w:vMerge w:val="restart"/>
          </w:tcPr>
          <w:p>
            <w:pPr>
              <w:jc w:val="right"/>
              <w:ind w:right="300"/>
              <w:spacing w:after="0" w:line="139" w:lineRule="exact"/>
              <w:rPr>
                <w:sz w:val="20"/>
                <w:szCs w:val="20"/>
                <w:color w:val="auto"/>
              </w:rPr>
            </w:pPr>
            <w:r>
              <w:rPr>
                <w:rFonts w:ascii="Arial" w:cs="Arial" w:eastAsia="Arial" w:hAnsi="Arial"/>
                <w:sz w:val="13"/>
                <w:szCs w:val="13"/>
                <w:color w:val="0000FF"/>
              </w:rPr>
              <w:t>864</w:t>
            </w:r>
          </w:p>
        </w:tc>
        <w:tc>
          <w:tcPr>
            <w:tcW w:w="740" w:type="dxa"/>
            <w:vAlign w:val="bottom"/>
            <w:vMerge w:val="restart"/>
          </w:tcPr>
          <w:p>
            <w:pPr>
              <w:ind w:left="320"/>
              <w:spacing w:after="0" w:line="139"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1"/>
        </w:trPr>
        <w:tc>
          <w:tcPr>
            <w:tcW w:w="70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10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00" w:type="dxa"/>
            <w:vAlign w:val="bottom"/>
            <w:vMerge w:val="restart"/>
          </w:tcPr>
          <w:p>
            <w:pPr>
              <w:ind w:left="180"/>
              <w:spacing w:after="0"/>
              <w:rPr>
                <w:sz w:val="20"/>
                <w:szCs w:val="20"/>
                <w:color w:val="auto"/>
              </w:rPr>
            </w:pPr>
            <w:r>
              <w:rPr>
                <w:rFonts w:ascii="Arial" w:cs="Arial" w:eastAsia="Arial" w:hAnsi="Arial"/>
                <w:sz w:val="13"/>
                <w:szCs w:val="13"/>
                <w:color w:val="0000FF"/>
              </w:rPr>
              <w:t>Stock</w:t>
            </w:r>
          </w:p>
        </w:tc>
        <w:tc>
          <w:tcPr>
            <w:tcW w:w="5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3"/>
        </w:trPr>
        <w:tc>
          <w:tcPr>
            <w:tcW w:w="700" w:type="dxa"/>
            <w:vAlign w:val="bottom"/>
            <w:vMerge w:val="restart"/>
          </w:tcPr>
          <w:p>
            <w:pPr>
              <w:ind w:left="60"/>
              <w:spacing w:after="0" w:line="235" w:lineRule="exact"/>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(1)</w:t>
            </w:r>
          </w:p>
        </w:tc>
        <w:tc>
          <w:tcPr>
            <w:tcW w:w="7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7"/>
        </w:trPr>
        <w:tc>
          <w:tcPr>
            <w:tcW w:w="700" w:type="dxa"/>
            <w:vAlign w:val="bottom"/>
            <w:tcBorders>
              <w:bottom w:val="single" w:sz="8" w:color="2C2C2C"/>
            </w:tcBorders>
            <w:vMerge w:val="continue"/>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1100" w:type="dxa"/>
            <w:vAlign w:val="bottom"/>
            <w:tcBorders>
              <w:bottom w:val="single" w:sz="8" w:color="2C2C2C"/>
            </w:tcBorders>
          </w:tcPr>
          <w:p>
            <w:pPr>
              <w:spacing w:after="0"/>
              <w:rPr>
                <w:sz w:val="11"/>
                <w:szCs w:val="11"/>
                <w:color w:val="auto"/>
              </w:rPr>
            </w:pPr>
          </w:p>
        </w:tc>
        <w:tc>
          <w:tcPr>
            <w:tcW w:w="110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70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20" w:type="dxa"/>
            <w:vAlign w:val="bottom"/>
            <w:vMerge w:val="restart"/>
          </w:tcPr>
          <w:p>
            <w:pPr>
              <w:jc w:val="right"/>
              <w:ind w:right="34"/>
              <w:spacing w:after="0"/>
              <w:rPr>
                <w:sz w:val="20"/>
                <w:szCs w:val="20"/>
                <w:color w:val="auto"/>
              </w:rPr>
            </w:pPr>
            <w:r>
              <w:rPr>
                <w:rFonts w:ascii="Arial" w:cs="Arial" w:eastAsia="Arial" w:hAnsi="Arial"/>
                <w:sz w:val="17"/>
                <w:szCs w:val="17"/>
                <w:color w:val="0000FF"/>
                <w:w w:val="93"/>
              </w:rPr>
              <w:t>2,656</w:t>
            </w:r>
          </w:p>
        </w:tc>
        <w:tc>
          <w:tcPr>
            <w:tcW w:w="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700" w:type="dxa"/>
            <w:vAlign w:val="bottom"/>
            <w:vMerge w:val="restart"/>
          </w:tcPr>
          <w:p>
            <w:pPr>
              <w:ind w:left="60"/>
              <w:spacing w:after="0" w:line="139" w:lineRule="exact"/>
              <w:rPr>
                <w:sz w:val="20"/>
                <w:szCs w:val="20"/>
                <w:color w:val="auto"/>
              </w:rPr>
            </w:pPr>
            <w:r>
              <w:rPr>
                <w:rFonts w:ascii="Arial" w:cs="Arial" w:eastAsia="Arial" w:hAnsi="Arial"/>
                <w:sz w:val="13"/>
                <w:szCs w:val="13"/>
                <w:color w:val="0000FF"/>
              </w:rPr>
              <w:t>stock</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(2)</w:t>
            </w: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720" w:type="dxa"/>
            <w:vAlign w:val="bottom"/>
            <w:vMerge w:val="restart"/>
          </w:tcPr>
          <w:p>
            <w:pPr>
              <w:jc w:val="center"/>
              <w:spacing w:after="0"/>
              <w:rPr>
                <w:sz w:val="20"/>
                <w:szCs w:val="20"/>
                <w:color w:val="auto"/>
              </w:rPr>
            </w:pPr>
            <w:r>
              <w:rPr>
                <w:rFonts w:ascii="Arial" w:cs="Arial" w:eastAsia="Arial" w:hAnsi="Arial"/>
                <w:sz w:val="11"/>
                <w:szCs w:val="11"/>
                <w:color w:val="008000"/>
              </w:rPr>
              <w:t>(3)</w:t>
            </w:r>
          </w:p>
        </w:tc>
        <w:tc>
          <w:tcPr>
            <w:tcW w:w="70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vMerge w:val="restart"/>
          </w:tcPr>
          <w:p>
            <w:pPr>
              <w:jc w:val="right"/>
              <w:ind w:right="260"/>
              <w:spacing w:after="0" w:line="139" w:lineRule="exact"/>
              <w:rPr>
                <w:sz w:val="20"/>
                <w:szCs w:val="20"/>
                <w:color w:val="auto"/>
              </w:rPr>
            </w:pPr>
            <w:r>
              <w:rPr>
                <w:rFonts w:ascii="Arial" w:cs="Arial" w:eastAsia="Arial" w:hAnsi="Arial"/>
                <w:sz w:val="13"/>
                <w:szCs w:val="13"/>
                <w:color w:val="0000FF"/>
              </w:rPr>
              <w:t>2,656</w:t>
            </w:r>
          </w:p>
        </w:tc>
        <w:tc>
          <w:tcPr>
            <w:tcW w:w="740" w:type="dxa"/>
            <w:vAlign w:val="bottom"/>
            <w:vMerge w:val="restart"/>
          </w:tcPr>
          <w:p>
            <w:pPr>
              <w:ind w:left="320"/>
              <w:spacing w:after="0" w:line="139"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1"/>
        </w:trPr>
        <w:tc>
          <w:tcPr>
            <w:tcW w:w="70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00" w:type="dxa"/>
            <w:vAlign w:val="bottom"/>
            <w:vMerge w:val="restart"/>
          </w:tcPr>
          <w:p>
            <w:pPr>
              <w:ind w:left="180"/>
              <w:spacing w:after="0"/>
              <w:rPr>
                <w:sz w:val="20"/>
                <w:szCs w:val="20"/>
                <w:color w:val="auto"/>
              </w:rPr>
            </w:pPr>
            <w:r>
              <w:rPr>
                <w:rFonts w:ascii="Arial" w:cs="Arial" w:eastAsia="Arial" w:hAnsi="Arial"/>
                <w:sz w:val="13"/>
                <w:szCs w:val="13"/>
                <w:color w:val="0000FF"/>
              </w:rPr>
              <w:t>Stock</w:t>
            </w:r>
          </w:p>
        </w:tc>
        <w:tc>
          <w:tcPr>
            <w:tcW w:w="52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3"/>
        </w:trPr>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(3)</w:t>
            </w:r>
          </w:p>
        </w:tc>
        <w:tc>
          <w:tcPr>
            <w:tcW w:w="7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9"/>
        </w:trPr>
        <w:tc>
          <w:tcPr>
            <w:tcW w:w="700" w:type="dxa"/>
            <w:vAlign w:val="bottom"/>
            <w:vMerge w:val="continue"/>
          </w:tcPr>
          <w:p>
            <w:pPr>
              <w:spacing w:after="0"/>
              <w:rPr>
                <w:sz w:val="15"/>
                <w:szCs w:val="15"/>
                <w:color w:val="auto"/>
              </w:rPr>
            </w:pPr>
          </w:p>
        </w:tc>
        <w:tc>
          <w:tcPr>
            <w:tcW w:w="7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4" w:lineRule="exact"/>
        <w:rPr>
          <w:sz w:val="24"/>
          <w:szCs w:val="24"/>
          <w:color w:val="auto"/>
        </w:rPr>
      </w:pPr>
    </w:p>
    <w:p>
      <w:pPr>
        <w:jc w:val="both"/>
        <w:ind w:left="40" w:right="180" w:firstLine="3"/>
        <w:spacing w:after="0" w:line="241" w:lineRule="auto"/>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Pursuant to terms and conditions of 2018 Stock Incentive Plan. This award will vest in equal installments on June 15, 2021, June 15, 2022 and June 15, 2023. Not included in the reported award amount is a target amount of performance-based restricted stock units that will vest on June 15, 2023, but which are subject to the satisfaction of certain performance criteria other than solely the price of Casey's Common Stock; the final amount of shares earned, if any, will be reported upon vest and satisfaction of those performance measures.</w:t>
      </w:r>
    </w:p>
    <w:p>
      <w:pPr>
        <w:spacing w:after="0" w:line="31" w:lineRule="exact"/>
        <w:rPr>
          <w:rFonts w:ascii="Arial" w:cs="Arial" w:eastAsia="Arial" w:hAnsi="Arial"/>
          <w:sz w:val="13"/>
          <w:szCs w:val="13"/>
          <w:color w:val="008000"/>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restricted stock unit represents the right to receive, following vesting, one share of Common Stock.</w:t>
      </w:r>
    </w:p>
    <w:p>
      <w:pPr>
        <w:spacing w:after="0" w:line="45" w:lineRule="exact"/>
        <w:rPr>
          <w:rFonts w:ascii="Arial" w:cs="Arial" w:eastAsia="Arial" w:hAnsi="Arial"/>
          <w:sz w:val="13"/>
          <w:szCs w:val="13"/>
          <w:color w:val="008000"/>
        </w:rPr>
      </w:pPr>
    </w:p>
    <w:p>
      <w:pPr>
        <w:ind w:left="40" w:right="660" w:firstLine="3"/>
        <w:spacing w:after="0" w:line="253" w:lineRule="auto"/>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Pursuant to terms and conditions of 2018 Stock Incentive Plan and in accordance with the terms and conditions of Mr. Butler's "make-whole award" of June 1, 2020, granted in conjunction with his commencement of employment as Casey's Chief Information Officer. This award will vest in-full on June 1, 2023.</w:t>
      </w:r>
    </w:p>
    <w:p>
      <w:pPr>
        <w:spacing w:after="0" w:line="1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1"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90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8"/>
              </w:rPr>
              <w:t>Scott Faber, under Power of</w:t>
            </w:r>
          </w:p>
        </w:tc>
        <w:tc>
          <w:tcPr>
            <w:tcW w:w="160" w:type="dxa"/>
            <w:vAlign w:val="bottom"/>
            <w:gridSpan w:val="2"/>
          </w:tcPr>
          <w:p>
            <w:pPr>
              <w:spacing w:after="0"/>
              <w:rPr>
                <w:sz w:val="16"/>
                <w:szCs w:val="16"/>
                <w:color w:val="auto"/>
              </w:rPr>
            </w:pPr>
          </w:p>
        </w:tc>
        <w:tc>
          <w:tcPr>
            <w:tcW w:w="920" w:type="dxa"/>
            <w:vAlign w:val="bottom"/>
            <w:gridSpan w:val="2"/>
            <w:vMerge w:val="restart"/>
          </w:tcPr>
          <w:p>
            <w:pPr>
              <w:ind w:left="140"/>
              <w:spacing w:after="0"/>
              <w:rPr>
                <w:sz w:val="20"/>
                <w:szCs w:val="20"/>
                <w:color w:val="auto"/>
              </w:rPr>
            </w:pPr>
            <w:r>
              <w:rPr>
                <w:rFonts w:ascii="Arial" w:cs="Arial" w:eastAsia="Arial" w:hAnsi="Arial"/>
                <w:sz w:val="17"/>
                <w:szCs w:val="17"/>
                <w:color w:val="0000FF"/>
                <w:w w:val="89"/>
              </w:rPr>
              <w:t>06/04/2020</w:t>
            </w:r>
          </w:p>
        </w:tc>
        <w:tc>
          <w:tcPr>
            <w:tcW w:w="0" w:type="dxa"/>
            <w:vAlign w:val="bottom"/>
          </w:tcPr>
          <w:p>
            <w:pPr>
              <w:spacing w:after="0"/>
              <w:rPr>
                <w:sz w:val="1"/>
                <w:szCs w:val="1"/>
                <w:color w:val="auto"/>
              </w:rPr>
            </w:pPr>
          </w:p>
        </w:tc>
      </w:tr>
      <w:tr>
        <w:trPr>
          <w:trHeight w:val="84"/>
        </w:trPr>
        <w:tc>
          <w:tcPr>
            <w:tcW w:w="1920" w:type="dxa"/>
            <w:vAlign w:val="bottom"/>
            <w:gridSpan w:val="2"/>
            <w:vMerge w:val="restart"/>
          </w:tcPr>
          <w:p>
            <w:pPr>
              <w:spacing w:after="0" w:line="189" w:lineRule="exact"/>
              <w:rPr>
                <w:sz w:val="20"/>
                <w:szCs w:val="20"/>
                <w:color w:val="auto"/>
              </w:rPr>
            </w:pPr>
            <w:r>
              <w:rPr>
                <w:rFonts w:ascii="Arial" w:cs="Arial" w:eastAsia="Arial" w:hAnsi="Arial"/>
                <w:sz w:val="17"/>
                <w:szCs w:val="17"/>
                <w:color w:val="0000FF"/>
                <w:w w:val="88"/>
              </w:rPr>
              <w:t>Attorney dated June 3, 2020</w:t>
            </w:r>
          </w:p>
        </w:tc>
        <w:tc>
          <w:tcPr>
            <w:tcW w:w="14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1920" w:type="dxa"/>
            <w:vAlign w:val="bottom"/>
            <w:tcBorders>
              <w:bottom w:val="single" w:sz="8" w:color="auto"/>
            </w:tcBorders>
            <w:gridSpan w:val="2"/>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06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4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2" w:lineRule="auto"/>
        <w:tabs>
          <w:tab w:leader="none" w:pos="178"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777079" TargetMode="External"/><Relationship Id="rId14" Type="http://schemas.openxmlformats.org/officeDocument/2006/relationships/hyperlink" Target="http://www.sec.gov/cgi-bin/browse-edgar?action=getcompany&amp;CIK=00007269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2020-06-04T18:32:02Z</dcterms:created>
  <dcterms:modified xsi:type="dcterms:W3CDTF">2020-06-04T18:32:02Z</dcterms:modified>
</cp:coreProperties>
</file>