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Jackowski Julia L</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440" w:type="dxa"/>
            <w:vAlign w:val="bottom"/>
          </w:tcPr>
          <w:p>
            <w:pPr>
              <w:ind w:left="260"/>
              <w:spacing w:after="0"/>
              <w:rPr>
                <w:sz w:val="20"/>
                <w:szCs w:val="20"/>
                <w:color w:val="auto"/>
              </w:rPr>
            </w:pPr>
            <w:r>
              <w:rPr>
                <w:rFonts w:ascii="Arial" w:cs="Arial" w:eastAsia="Arial" w:hAnsi="Arial"/>
                <w:sz w:val="13"/>
                <w:szCs w:val="13"/>
                <w:color w:val="auto"/>
              </w:rPr>
              <w:t>(First)</w:t>
            </w:r>
          </w:p>
        </w:tc>
        <w:tc>
          <w:tcPr>
            <w:tcW w:w="122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w w:val="96"/>
              </w:rPr>
              <w:t>ONE SE CONVENIENCE BLVD.</w:t>
            </w:r>
          </w:p>
        </w:tc>
        <w:tc>
          <w:tcPr>
            <w:tcW w:w="12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r>
      <w:tr>
        <w:trPr>
          <w:trHeight w:val="25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ANKENY</w:t>
            </w:r>
          </w:p>
        </w:tc>
        <w:tc>
          <w:tcPr>
            <w:tcW w:w="1440" w:type="dxa"/>
            <w:vAlign w:val="bottom"/>
          </w:tcPr>
          <w:p>
            <w:pPr>
              <w:ind w:left="260"/>
              <w:spacing w:after="0"/>
              <w:rPr>
                <w:sz w:val="20"/>
                <w:szCs w:val="20"/>
                <w:color w:val="auto"/>
              </w:rPr>
            </w:pPr>
            <w:r>
              <w:rPr>
                <w:rFonts w:ascii="Arial" w:cs="Arial" w:eastAsia="Arial" w:hAnsi="Arial"/>
                <w:sz w:val="17"/>
                <w:szCs w:val="17"/>
                <w:color w:val="0000FF"/>
              </w:rPr>
              <w:t>IA</w:t>
            </w:r>
          </w:p>
        </w:tc>
        <w:tc>
          <w:tcPr>
            <w:tcW w:w="1220" w:type="dxa"/>
            <w:vAlign w:val="bottom"/>
          </w:tcPr>
          <w:p>
            <w:pPr>
              <w:ind w:left="40"/>
              <w:spacing w:after="0"/>
              <w:rPr>
                <w:sz w:val="20"/>
                <w:szCs w:val="20"/>
                <w:color w:val="auto"/>
              </w:rPr>
            </w:pPr>
            <w:r>
              <w:rPr>
                <w:rFonts w:ascii="Arial" w:cs="Arial" w:eastAsia="Arial" w:hAnsi="Arial"/>
                <w:sz w:val="17"/>
                <w:szCs w:val="17"/>
                <w:color w:val="0000FF"/>
              </w:rPr>
              <w:t>50021</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440" w:type="dxa"/>
            <w:vAlign w:val="bottom"/>
          </w:tcPr>
          <w:p>
            <w:pPr>
              <w:ind w:left="260"/>
              <w:spacing w:after="0"/>
              <w:rPr>
                <w:sz w:val="20"/>
                <w:szCs w:val="20"/>
                <w:color w:val="auto"/>
              </w:rPr>
            </w:pPr>
            <w:r>
              <w:rPr>
                <w:rFonts w:ascii="Arial" w:cs="Arial" w:eastAsia="Arial" w:hAnsi="Arial"/>
                <w:sz w:val="13"/>
                <w:szCs w:val="13"/>
                <w:color w:val="auto"/>
              </w:rPr>
              <w:t>(State)</w:t>
            </w:r>
          </w:p>
        </w:tc>
        <w:tc>
          <w:tcPr>
            <w:tcW w:w="122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3"/>
        </w:trPr>
        <w:tc>
          <w:tcPr>
            <w:tcW w:w="3820" w:type="dxa"/>
            <w:vAlign w:val="bottom"/>
            <w:gridSpan w:val="2"/>
          </w:tcPr>
          <w:p>
            <w:pPr>
              <w:ind w:left="60"/>
              <w:spacing w:after="0" w:line="204"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CASEYS GENERAL STORES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6"/>
                <w:szCs w:val="16"/>
                <w:color w:val="0000FF"/>
                <w:w w:val="96"/>
              </w:rPr>
              <w:t>CASY</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6"/>
        </w:trPr>
        <w:tc>
          <w:tcPr>
            <w:tcW w:w="200" w:type="dxa"/>
            <w:vAlign w:val="bottom"/>
            <w:vMerge w:val="restart"/>
          </w:tcPr>
          <w:p>
            <w:pPr>
              <w:ind w:left="60"/>
              <w:spacing w:after="0"/>
              <w:rPr>
                <w:sz w:val="20"/>
                <w:szCs w:val="20"/>
                <w:color w:val="auto"/>
              </w:rPr>
            </w:pPr>
            <w:r>
              <w:rPr>
                <w:rFonts w:ascii="Arial" w:cs="Arial" w:eastAsia="Arial" w:hAnsi="Arial"/>
                <w:sz w:val="21"/>
                <w:szCs w:val="21"/>
                <w:color w:val="auto"/>
              </w:rPr>
              <w:t>]</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Chief Legal Officer, Secretary</w:t>
            </w:r>
          </w:p>
        </w:tc>
        <w:tc>
          <w:tcPr>
            <w:tcW w:w="0" w:type="dxa"/>
            <w:vAlign w:val="bottom"/>
          </w:tcPr>
          <w:p>
            <w:pPr>
              <w:spacing w:after="0"/>
              <w:rPr>
                <w:sz w:val="1"/>
                <w:szCs w:val="1"/>
                <w:color w:val="auto"/>
              </w:rPr>
            </w:pPr>
          </w:p>
        </w:tc>
      </w:tr>
      <w:tr>
        <w:trPr>
          <w:trHeight w:val="111"/>
        </w:trPr>
        <w:tc>
          <w:tcPr>
            <w:tcW w:w="3820" w:type="dxa"/>
            <w:vAlign w:val="bottom"/>
            <w:gridSpan w:val="2"/>
            <w:vMerge w:val="restart"/>
          </w:tcPr>
          <w:p>
            <w:pPr>
              <w:ind w:left="60"/>
              <w:spacing w:after="0"/>
              <w:rPr>
                <w:sz w:val="20"/>
                <w:szCs w:val="20"/>
                <w:color w:val="auto"/>
              </w:rPr>
            </w:pPr>
            <w:r>
              <w:rPr>
                <w:rFonts w:ascii="Arial" w:cs="Arial" w:eastAsia="Arial" w:hAnsi="Arial"/>
                <w:sz w:val="17"/>
                <w:szCs w:val="17"/>
                <w:color w:val="0000FF"/>
              </w:rPr>
              <w:t>06/02/2020</w:t>
            </w: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0" w:type="dxa"/>
            <w:vAlign w:val="bottom"/>
            <w:tcBorders>
              <w:bottom w:val="single" w:sz="8" w:color="2C2C2C"/>
            </w:tcBorders>
          </w:tcPr>
          <w:p>
            <w:pPr>
              <w:spacing w:after="0"/>
              <w:rPr>
                <w:sz w:val="10"/>
                <w:szCs w:val="10"/>
                <w:color w:val="auto"/>
              </w:rPr>
            </w:pPr>
          </w:p>
        </w:tc>
        <w:tc>
          <w:tcPr>
            <w:tcW w:w="362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153035</wp:posOffset>
            </wp:positionV>
            <wp:extent cx="696722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10502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0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tcPr>
          <w:p>
            <w:pPr>
              <w:jc w:val="right"/>
              <w:ind w:right="256"/>
              <w:spacing w:after="0"/>
              <w:rPr>
                <w:sz w:val="20"/>
                <w:szCs w:val="20"/>
                <w:color w:val="auto"/>
              </w:rPr>
            </w:pPr>
            <w:r>
              <w:rPr>
                <w:rFonts w:ascii="Arial" w:cs="Arial" w:eastAsia="Arial" w:hAnsi="Arial"/>
                <w:sz w:val="17"/>
                <w:szCs w:val="17"/>
                <w:color w:val="0000FF"/>
              </w:rPr>
              <w:t>15,620</w:t>
            </w:r>
          </w:p>
        </w:tc>
        <w:tc>
          <w:tcPr>
            <w:tcW w:w="94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Voting</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tender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center"/>
              <w:ind w:right="216"/>
              <w:spacing w:after="0" w:line="208" w:lineRule="exact"/>
              <w:rPr>
                <w:sz w:val="20"/>
                <w:szCs w:val="20"/>
                <w:color w:val="auto"/>
              </w:rPr>
            </w:pPr>
            <w:r>
              <w:rPr>
                <w:rFonts w:ascii="Arial" w:cs="Arial" w:eastAsia="Arial" w:hAnsi="Arial"/>
                <w:sz w:val="17"/>
                <w:szCs w:val="17"/>
                <w:color w:val="0000FF"/>
              </w:rPr>
              <w:t>4,712</w:t>
            </w:r>
            <w:r>
              <w:rPr>
                <w:rFonts w:ascii="Arial" w:cs="Arial" w:eastAsia="Arial" w:hAnsi="Arial"/>
                <w:sz w:val="21"/>
                <w:szCs w:val="21"/>
                <w:color w:val="008000"/>
                <w:vertAlign w:val="superscript"/>
              </w:rPr>
              <w:t>(1)</w:t>
            </w:r>
          </w:p>
        </w:tc>
        <w:tc>
          <w:tcPr>
            <w:tcW w:w="940" w:type="dxa"/>
            <w:vAlign w:val="bottom"/>
          </w:tcPr>
          <w:p>
            <w:pPr>
              <w:ind w:left="460"/>
              <w:spacing w:after="0"/>
              <w:rPr>
                <w:sz w:val="20"/>
                <w:szCs w:val="20"/>
                <w:color w:val="auto"/>
              </w:rPr>
            </w:pPr>
            <w:r>
              <w:rPr>
                <w:rFonts w:ascii="Arial" w:cs="Arial" w:eastAsia="Arial" w:hAnsi="Arial"/>
                <w:sz w:val="17"/>
                <w:szCs w:val="17"/>
                <w:color w:val="0000FF"/>
              </w:rPr>
              <w:t>I</w:t>
            </w:r>
          </w:p>
        </w:tc>
        <w:tc>
          <w:tcPr>
            <w:tcW w:w="780" w:type="dxa"/>
            <w:vAlign w:val="bottom"/>
          </w:tcPr>
          <w:p>
            <w:pPr>
              <w:ind w:left="80"/>
              <w:spacing w:after="0"/>
              <w:rPr>
                <w:sz w:val="20"/>
                <w:szCs w:val="20"/>
                <w:color w:val="auto"/>
              </w:rPr>
            </w:pPr>
            <w:r>
              <w:rPr>
                <w:rFonts w:ascii="Arial" w:cs="Arial" w:eastAsia="Arial" w:hAnsi="Arial"/>
                <w:sz w:val="17"/>
                <w:szCs w:val="17"/>
                <w:color w:val="0000FF"/>
              </w:rPr>
              <w:t>rights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under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plan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3235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323596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1,100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right"/>
              <w:ind w:right="180"/>
              <w:spacing w:after="0" w:line="139" w:lineRule="exact"/>
              <w:rPr>
                <w:sz w:val="20"/>
                <w:szCs w:val="20"/>
                <w:color w:val="auto"/>
              </w:rPr>
            </w:pPr>
            <w:r>
              <w:rPr>
                <w:rFonts w:ascii="Arial" w:cs="Arial" w:eastAsia="Arial" w:hAnsi="Arial"/>
                <w:sz w:val="13"/>
                <w:szCs w:val="13"/>
                <w:color w:val="0000FF"/>
              </w:rPr>
              <w:t>06/02/2020</w:t>
            </w:r>
          </w:p>
        </w:tc>
        <w:tc>
          <w:tcPr>
            <w:tcW w:w="1100" w:type="dxa"/>
            <w:vAlign w:val="bottom"/>
          </w:tcPr>
          <w:p>
            <w:pPr>
              <w:spacing w:after="0"/>
              <w:rPr>
                <w:sz w:val="6"/>
                <w:szCs w:val="6"/>
                <w:color w:val="auto"/>
              </w:rPr>
            </w:pPr>
          </w:p>
        </w:tc>
        <w:tc>
          <w:tcPr>
            <w:tcW w:w="80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1,100</w:t>
            </w:r>
          </w:p>
        </w:tc>
        <w:tc>
          <w:tcPr>
            <w:tcW w:w="2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1,100</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1,554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1,554</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1,687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1,687</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1,238</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1,238</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Allocated to Ms. Jackowski's 401k plan account as of April 30, 2020. Does not include any shares allocated by the plan trustee after that date.</w:t>
      </w:r>
    </w:p>
    <w:p>
      <w:pPr>
        <w:spacing w:after="0" w:line="45" w:lineRule="exact"/>
        <w:rPr>
          <w:rFonts w:ascii="Arial" w:cs="Arial" w:eastAsia="Arial" w:hAnsi="Arial"/>
          <w:sz w:val="13"/>
          <w:szCs w:val="13"/>
          <w:color w:val="008000"/>
        </w:rPr>
      </w:pPr>
    </w:p>
    <w:p>
      <w:pPr>
        <w:jc w:val="both"/>
        <w:ind w:left="40" w:right="2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equal installments on June 15, 2021, June 15, 2022 and June 15, 2023. Not included in the reported award amount is a target amount of performance-based restricted stock units that will vest on June 15, 2023,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following vesting, one share of Common Stock.</w:t>
      </w:r>
    </w:p>
    <w:p>
      <w:pPr>
        <w:spacing w:after="0" w:line="45" w:lineRule="exact"/>
        <w:rPr>
          <w:rFonts w:ascii="Arial" w:cs="Arial" w:eastAsia="Arial" w:hAnsi="Arial"/>
          <w:sz w:val="13"/>
          <w:szCs w:val="13"/>
          <w:color w:val="008000"/>
        </w:rPr>
      </w:pPr>
    </w:p>
    <w:p>
      <w:pPr>
        <w:ind w:left="40" w:right="3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2009 Stock Incentive Plan. This award will vest in full on June 15, 2020. Not included in the reported award amount is a target amount of performance-based restricted stock units that will vest on June 15, 2020,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0" w:lineRule="exact"/>
        <w:rPr>
          <w:rFonts w:ascii="Arial" w:cs="Arial" w:eastAsia="Arial" w:hAnsi="Arial"/>
          <w:sz w:val="13"/>
          <w:szCs w:val="13"/>
          <w:color w:val="008000"/>
        </w:rPr>
      </w:pPr>
    </w:p>
    <w:p>
      <w:pPr>
        <w:ind w:left="40" w:right="3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2009 Stock Incentive Plan. This award will vest in full on June 15, 2021. Not included in the reported award amount is a target amount of performance-based restricted stock units that will vest on June 15, 2021,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0" w:lineRule="exact"/>
        <w:rPr>
          <w:rFonts w:ascii="Arial" w:cs="Arial" w:eastAsia="Arial" w:hAnsi="Arial"/>
          <w:sz w:val="13"/>
          <w:szCs w:val="13"/>
          <w:color w:val="008000"/>
        </w:rPr>
      </w:pPr>
    </w:p>
    <w:p>
      <w:pPr>
        <w:ind w:left="40" w:right="3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full on June 15, 2022. Not included in the reported award amount is a target amount of performance-based restricted stock units that will vest on June 15, 2022,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Scott Faber, under Power of</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06/02/2020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40" w:type="dxa"/>
            <w:vAlign w:val="bottom"/>
            <w:gridSpan w:val="2"/>
            <w:vMerge w:val="restart"/>
          </w:tcPr>
          <w:p>
            <w:pPr>
              <w:spacing w:after="0" w:line="188" w:lineRule="exact"/>
              <w:rPr>
                <w:sz w:val="20"/>
                <w:szCs w:val="20"/>
                <w:color w:val="auto"/>
              </w:rPr>
            </w:pPr>
            <w:r>
              <w:rPr>
                <w:rFonts w:ascii="Arial" w:cs="Arial" w:eastAsia="Arial" w:hAnsi="Arial"/>
                <w:sz w:val="17"/>
                <w:szCs w:val="17"/>
                <w:color w:val="0000FF"/>
                <w:w w:val="90"/>
              </w:rPr>
              <w:t>Attorney dated March 3, 2017</w:t>
            </w:r>
          </w:p>
        </w:tc>
        <w:tc>
          <w:tcPr>
            <w:tcW w:w="1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40" w:type="dxa"/>
            <w:vAlign w:val="bottom"/>
            <w:tcBorders>
              <w:bottom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93840"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2020-06-04T18:31:32Z</dcterms:created>
  <dcterms:modified xsi:type="dcterms:W3CDTF">2020-06-04T18:31:32Z</dcterms:modified>
</cp:coreProperties>
</file>