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236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2360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Koschel Williams Ena</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CASEYS GENERAL STORES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CASY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320" w:type="dxa"/>
            <w:vAlign w:val="bottom"/>
            <w:tcBorders>
              <w:top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ONE SE CONVENIENCE BLVD.</w:t>
            </w:r>
          </w:p>
        </w:tc>
        <w:tc>
          <w:tcPr>
            <w:tcW w:w="1460" w:type="dxa"/>
            <w:vAlign w:val="bottom"/>
          </w:tcPr>
          <w:p>
            <w:pPr>
              <w:spacing w:after="0"/>
              <w:rPr>
                <w:sz w:val="18"/>
                <w:szCs w:val="18"/>
                <w:color w:val="auto"/>
              </w:rPr>
            </w:pP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06/03/2026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Chief Operating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0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ANKENY</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50021</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gridSpan w:val="6"/>
            <w:vMerge w:val="continue"/>
          </w:tcPr>
          <w:p>
            <w:pPr>
              <w:spacing w:after="0"/>
              <w:rPr>
                <w:sz w:val="2"/>
                <w:szCs w:val="2"/>
                <w:color w:val="auto"/>
              </w:rPr>
            </w:pPr>
          </w:p>
        </w:tc>
        <w:tc>
          <w:tcPr>
            <w:tcW w:w="90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2"/>
          </w:tcPr>
          <w:p>
            <w:pPr>
              <w:ind w:left="12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900" w:type="dxa"/>
            <w:vAlign w:val="bottom"/>
            <w:vMerge w:val="restart"/>
          </w:tcPr>
          <w:p>
            <w:pPr>
              <w:ind w:left="4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4"/>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18,059</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Voting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419</w:t>
            </w:r>
            <w:r>
              <w:rPr>
                <w:rFonts w:ascii="Times New Roman" w:cs="Times New Roman" w:eastAsia="Times New Roman" w:hAnsi="Times New Roman"/>
                <w:sz w:val="17"/>
                <w:szCs w:val="17"/>
                <w:color w:val="008000"/>
                <w:vertAlign w:val="superscript"/>
              </w:rPr>
              <w:t>(1)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tender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rights under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401k plan</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right"/>
              <w:ind w:right="12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2"/>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20"/>
                <w:szCs w:val="20"/>
                <w:color w:val="auto"/>
              </w:rPr>
            </w:pPr>
            <w:r>
              <w:rPr>
                <w:rFonts w:ascii="Arial" w:cs="Arial" w:eastAsia="Arial" w:hAnsi="Arial"/>
                <w:sz w:val="9"/>
                <w:szCs w:val="9"/>
                <w:b w:val="1"/>
                <w:bCs w:val="1"/>
                <w:color w:val="auto"/>
              </w:rPr>
              <w:t>Securities</w:t>
            </w:r>
          </w:p>
        </w:tc>
        <w:tc>
          <w:tcPr>
            <w:tcW w:w="46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Acquired (A) or</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jc w:val="right"/>
              <w:ind w:right="4"/>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jc w:val="center"/>
              <w:ind w:right="15"/>
              <w:spacing w:after="0"/>
              <w:rPr>
                <w:sz w:val="20"/>
                <w:szCs w:val="20"/>
                <w:color w:val="auto"/>
              </w:rPr>
            </w:pPr>
            <w:r>
              <w:rPr>
                <w:rFonts w:ascii="Arial" w:cs="Arial" w:eastAsia="Arial" w:hAnsi="Arial"/>
                <w:sz w:val="9"/>
                <w:szCs w:val="9"/>
                <w:b w:val="1"/>
                <w:bCs w:val="1"/>
                <w:color w:val="auto"/>
              </w:rPr>
              <w:t>Expiration</w:t>
            </w:r>
          </w:p>
        </w:tc>
        <w:tc>
          <w:tcPr>
            <w:tcW w:w="900" w:type="dxa"/>
            <w:vAlign w:val="bottom"/>
          </w:tcPr>
          <w:p>
            <w:pPr>
              <w:spacing w:after="0"/>
              <w:rPr>
                <w:sz w:val="9"/>
                <w:szCs w:val="9"/>
                <w:color w:val="auto"/>
              </w:rPr>
            </w:pPr>
          </w:p>
        </w:tc>
        <w:tc>
          <w:tcPr>
            <w:tcW w:w="640" w:type="dxa"/>
            <w:vAlign w:val="bottom"/>
          </w:tcPr>
          <w:p>
            <w:pPr>
              <w:jc w:val="right"/>
              <w:ind w:right="4"/>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06/03/2026</w:t>
            </w:r>
          </w:p>
        </w:tc>
        <w:tc>
          <w:tcPr>
            <w:tcW w:w="880" w:type="dxa"/>
            <w:vAlign w:val="bottom"/>
          </w:tcPr>
          <w:p>
            <w:pPr>
              <w:spacing w:after="0"/>
              <w:rPr>
                <w:sz w:val="17"/>
                <w:szCs w:val="17"/>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60" w:type="dxa"/>
            <w:vAlign w:val="bottom"/>
          </w:tcPr>
          <w:p>
            <w:pPr>
              <w:ind w:left="120"/>
              <w:spacing w:after="0"/>
              <w:rPr>
                <w:sz w:val="20"/>
                <w:szCs w:val="20"/>
                <w:color w:val="auto"/>
              </w:rPr>
            </w:pPr>
            <w:r>
              <w:rPr>
                <w:rFonts w:ascii="Times New Roman" w:cs="Times New Roman" w:eastAsia="Times New Roman" w:hAnsi="Times New Roman"/>
                <w:sz w:val="10"/>
                <w:szCs w:val="10"/>
                <w:color w:val="0000FF"/>
              </w:rPr>
              <w:t>899</w:t>
            </w: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center"/>
              <w:ind w:left="144"/>
              <w:spacing w:after="0"/>
              <w:rPr>
                <w:sz w:val="20"/>
                <w:szCs w:val="20"/>
                <w:color w:val="auto"/>
              </w:rPr>
            </w:pPr>
            <w:r>
              <w:rPr>
                <w:rFonts w:ascii="Times New Roman" w:cs="Times New Roman" w:eastAsia="Times New Roman" w:hAnsi="Times New Roman"/>
                <w:sz w:val="13"/>
                <w:szCs w:val="13"/>
                <w:color w:val="0000FF"/>
              </w:rPr>
              <w:t>899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899</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(4)</w:t>
            </w:r>
          </w:p>
        </w:tc>
        <w:tc>
          <w:tcPr>
            <w:tcW w:w="26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008000"/>
                <w:w w:val="94"/>
              </w:rPr>
              <w:t>(4)</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center"/>
              <w:ind w:left="124"/>
              <w:spacing w:after="0"/>
              <w:rPr>
                <w:sz w:val="20"/>
                <w:szCs w:val="20"/>
                <w:color w:val="auto"/>
              </w:rPr>
            </w:pPr>
            <w:r>
              <w:rPr>
                <w:rFonts w:ascii="Times New Roman" w:cs="Times New Roman" w:eastAsia="Times New Roman" w:hAnsi="Times New Roman"/>
                <w:sz w:val="13"/>
                <w:szCs w:val="13"/>
                <w:color w:val="0000FF"/>
              </w:rPr>
              <w:t>1,589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1,589</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(5)</w:t>
            </w:r>
          </w:p>
        </w:tc>
        <w:tc>
          <w:tcPr>
            <w:tcW w:w="26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008000"/>
                <w:w w:val="94"/>
              </w:rPr>
              <w:t>(5)</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center"/>
              <w:ind w:left="124"/>
              <w:spacing w:after="0"/>
              <w:rPr>
                <w:sz w:val="20"/>
                <w:szCs w:val="20"/>
                <w:color w:val="auto"/>
              </w:rPr>
            </w:pPr>
            <w:r>
              <w:rPr>
                <w:rFonts w:ascii="Times New Roman" w:cs="Times New Roman" w:eastAsia="Times New Roman" w:hAnsi="Times New Roman"/>
                <w:sz w:val="13"/>
                <w:szCs w:val="13"/>
                <w:color w:val="0000FF"/>
              </w:rPr>
              <w:t>1,072</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00FF"/>
              </w:rPr>
              <w:t>1,072</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(6)</w:t>
            </w:r>
          </w:p>
        </w:tc>
        <w:tc>
          <w:tcPr>
            <w:tcW w:w="26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008000"/>
                <w:w w:val="94"/>
              </w:rPr>
              <w:t>(6)</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center"/>
              <w:ind w:left="144"/>
              <w:spacing w:after="0"/>
              <w:rPr>
                <w:sz w:val="20"/>
                <w:szCs w:val="20"/>
                <w:color w:val="auto"/>
              </w:rPr>
            </w:pPr>
            <w:r>
              <w:rPr>
                <w:rFonts w:ascii="Times New Roman" w:cs="Times New Roman" w:eastAsia="Times New Roman" w:hAnsi="Times New Roman"/>
                <w:sz w:val="13"/>
                <w:szCs w:val="13"/>
                <w:color w:val="0000FF"/>
              </w:rPr>
              <w:t>676</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676</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Allocated to 401k plan account as of April 30, 2026. Does not include any shares allocated by the plan trustee after that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the right to receive, following vesting, one share of Common Stock.</w:t>
      </w:r>
    </w:p>
    <w:p>
      <w:pPr>
        <w:spacing w:after="0" w:line="40"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Erika Bertrand, under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06/05/2026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Attorney dated December 15, 2025</w:t>
            </w: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775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2026-06-05T16:35:35Z</dcterms:created>
  <dcterms:modified xsi:type="dcterms:W3CDTF">2026-06-05T16:35:35Z</dcterms:modified>
</cp:coreProperties>
</file>