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24, 2026</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CASEY'S GENERAL STORES,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2108" w:type="dxa"/>
        <w:tblCellMar>
          <w:top w:w="0" w:type="dxa"/>
          <w:left w:w="0" w:type="dxa"/>
          <w:bottom w:w="0" w:type="dxa"/>
          <w:right w:w="0" w:type="dxa"/>
        </w:tblCellMar>
      </w:tblPr>
      <w:tr>
        <w:trPr>
          <w:trHeight w:val="148"/>
        </w:trPr>
        <w:tc>
          <w:tcPr>
            <w:tcW w:w="1700" w:type="dxa"/>
            <w:vAlign w:val="bottom"/>
          </w:tcPr>
          <w:p>
            <w:pPr>
              <w:spacing w:after="0"/>
              <w:rPr>
                <w:sz w:val="12"/>
                <w:szCs w:val="12"/>
                <w:color w:val="auto"/>
              </w:rPr>
            </w:pPr>
          </w:p>
        </w:tc>
        <w:tc>
          <w:tcPr>
            <w:tcW w:w="5700" w:type="dxa"/>
            <w:vAlign w:val="bottom"/>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Iowa</w:t>
            </w:r>
          </w:p>
        </w:tc>
      </w:tr>
      <w:tr>
        <w:trPr>
          <w:trHeight w:val="155"/>
        </w:trPr>
        <w:tc>
          <w:tcPr>
            <w:tcW w:w="1700" w:type="dxa"/>
            <w:vAlign w:val="bottom"/>
          </w:tcPr>
          <w:p>
            <w:pPr>
              <w:spacing w:after="0"/>
              <w:rPr>
                <w:sz w:val="13"/>
                <w:szCs w:val="13"/>
                <w:color w:val="auto"/>
              </w:rPr>
            </w:pPr>
          </w:p>
        </w:tc>
        <w:tc>
          <w:tcPr>
            <w:tcW w:w="570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r>
      <w:tr>
        <w:trPr>
          <w:trHeight w:val="277"/>
        </w:trPr>
        <w:tc>
          <w:tcPr>
            <w:tcW w:w="1700" w:type="dxa"/>
            <w:vAlign w:val="bottom"/>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001-34700</w:t>
            </w:r>
          </w:p>
        </w:tc>
        <w:tc>
          <w:tcPr>
            <w:tcW w:w="570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42-0935283</w:t>
            </w:r>
          </w:p>
        </w:tc>
      </w:tr>
      <w:tr>
        <w:trPr>
          <w:trHeight w:val="140"/>
        </w:trPr>
        <w:tc>
          <w:tcPr>
            <w:tcW w:w="170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5700" w:type="dxa"/>
            <w:vAlign w:val="bottom"/>
          </w:tcPr>
          <w:p>
            <w:pPr>
              <w:jc w:val="center"/>
              <w:ind w:left="3680"/>
              <w:spacing w:after="0"/>
              <w:rPr>
                <w:sz w:val="20"/>
                <w:szCs w:val="20"/>
                <w:color w:val="auto"/>
              </w:rPr>
            </w:pPr>
            <w:r>
              <w:rPr>
                <w:rFonts w:ascii="Times New Roman" w:cs="Times New Roman" w:eastAsia="Times New Roman" w:hAnsi="Times New Roman"/>
                <w:sz w:val="12"/>
                <w:szCs w:val="12"/>
                <w:color w:val="auto"/>
                <w:w w:val="99"/>
              </w:rPr>
              <w:t>(I.R.S. Employer Identification Number)</w:t>
            </w:r>
          </w:p>
        </w:tc>
      </w:tr>
      <w:tr>
        <w:trPr>
          <w:trHeight w:val="148"/>
        </w:trPr>
        <w:tc>
          <w:tcPr>
            <w:tcW w:w="1700" w:type="dxa"/>
            <w:vAlign w:val="bottom"/>
          </w:tcPr>
          <w:p>
            <w:pPr>
              <w:spacing w:after="0"/>
              <w:rPr>
                <w:sz w:val="12"/>
                <w:szCs w:val="12"/>
                <w:color w:val="auto"/>
              </w:rPr>
            </w:pPr>
          </w:p>
        </w:tc>
        <w:tc>
          <w:tcPr>
            <w:tcW w:w="5700" w:type="dxa"/>
            <w:vAlign w:val="bottom"/>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w w:val="99"/>
              </w:rPr>
              <w:t>One SE Convenience Blvd., Ankeny, Iowa</w:t>
            </w:r>
          </w:p>
        </w:tc>
      </w:tr>
      <w:tr>
        <w:trPr>
          <w:trHeight w:val="155"/>
        </w:trPr>
        <w:tc>
          <w:tcPr>
            <w:tcW w:w="1700" w:type="dxa"/>
            <w:vAlign w:val="bottom"/>
          </w:tcPr>
          <w:p>
            <w:pPr>
              <w:spacing w:after="0"/>
              <w:rPr>
                <w:sz w:val="13"/>
                <w:szCs w:val="13"/>
                <w:color w:val="auto"/>
              </w:rPr>
            </w:pPr>
          </w:p>
        </w:tc>
        <w:tc>
          <w:tcPr>
            <w:tcW w:w="5700" w:type="dxa"/>
            <w:vAlign w:val="bottom"/>
          </w:tcPr>
          <w:p>
            <w:pPr>
              <w:jc w:val="center"/>
              <w:ind w:right="194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r>
      <w:tr>
        <w:trPr>
          <w:trHeight w:val="277"/>
        </w:trPr>
        <w:tc>
          <w:tcPr>
            <w:tcW w:w="1700" w:type="dxa"/>
            <w:vAlign w:val="bottom"/>
          </w:tcPr>
          <w:p>
            <w:pPr>
              <w:spacing w:after="0"/>
              <w:rPr>
                <w:sz w:val="24"/>
                <w:szCs w:val="24"/>
                <w:color w:val="auto"/>
              </w:rPr>
            </w:pPr>
          </w:p>
        </w:tc>
        <w:tc>
          <w:tcPr>
            <w:tcW w:w="5700" w:type="dxa"/>
            <w:vAlign w:val="bottom"/>
          </w:tcPr>
          <w:p>
            <w:pPr>
              <w:jc w:val="right"/>
              <w:ind w:right="3640"/>
              <w:spacing w:after="0"/>
              <w:rPr>
                <w:sz w:val="20"/>
                <w:szCs w:val="20"/>
                <w:color w:val="auto"/>
              </w:rPr>
            </w:pPr>
            <w:r>
              <w:rPr>
                <w:rFonts w:ascii="Times New Roman" w:cs="Times New Roman" w:eastAsia="Times New Roman" w:hAnsi="Times New Roman"/>
                <w:sz w:val="12"/>
                <w:szCs w:val="12"/>
                <w:b w:val="1"/>
                <w:bCs w:val="1"/>
                <w:color w:val="auto"/>
              </w:rPr>
              <w:t>50021</w:t>
            </w:r>
          </w:p>
        </w:tc>
      </w:tr>
      <w:tr>
        <w:trPr>
          <w:trHeight w:val="155"/>
        </w:trPr>
        <w:tc>
          <w:tcPr>
            <w:tcW w:w="1700" w:type="dxa"/>
            <w:vAlign w:val="bottom"/>
          </w:tcPr>
          <w:p>
            <w:pPr>
              <w:spacing w:after="0"/>
              <w:rPr>
                <w:sz w:val="13"/>
                <w:szCs w:val="13"/>
                <w:color w:val="auto"/>
              </w:rPr>
            </w:pPr>
          </w:p>
        </w:tc>
        <w:tc>
          <w:tcPr>
            <w:tcW w:w="570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277"/>
        </w:trPr>
        <w:tc>
          <w:tcPr>
            <w:tcW w:w="1700" w:type="dxa"/>
            <w:vAlign w:val="bottom"/>
          </w:tcPr>
          <w:p>
            <w:pPr>
              <w:spacing w:after="0"/>
              <w:rPr>
                <w:sz w:val="24"/>
                <w:szCs w:val="24"/>
                <w:color w:val="auto"/>
              </w:rPr>
            </w:pPr>
          </w:p>
        </w:tc>
        <w:tc>
          <w:tcPr>
            <w:tcW w:w="5700" w:type="dxa"/>
            <w:vAlign w:val="bottom"/>
          </w:tcPr>
          <w:p>
            <w:pPr>
              <w:jc w:val="right"/>
              <w:ind w:right="3460"/>
              <w:spacing w:after="0"/>
              <w:rPr>
                <w:sz w:val="20"/>
                <w:szCs w:val="20"/>
                <w:color w:val="auto"/>
              </w:rPr>
            </w:pPr>
            <w:r>
              <w:rPr>
                <w:rFonts w:ascii="Times New Roman" w:cs="Times New Roman" w:eastAsia="Times New Roman" w:hAnsi="Times New Roman"/>
                <w:sz w:val="12"/>
                <w:szCs w:val="12"/>
                <w:b w:val="1"/>
                <w:bCs w:val="1"/>
                <w:color w:val="auto"/>
              </w:rPr>
              <w:t>515/965-6100</w:t>
            </w:r>
          </w:p>
        </w:tc>
      </w:tr>
      <w:tr>
        <w:trPr>
          <w:trHeight w:val="155"/>
        </w:trPr>
        <w:tc>
          <w:tcPr>
            <w:tcW w:w="1700" w:type="dxa"/>
            <w:vAlign w:val="bottom"/>
          </w:tcPr>
          <w:p>
            <w:pPr>
              <w:spacing w:after="0"/>
              <w:rPr>
                <w:sz w:val="13"/>
                <w:szCs w:val="13"/>
                <w:color w:val="auto"/>
              </w:rPr>
            </w:pPr>
          </w:p>
        </w:tc>
        <w:tc>
          <w:tcPr>
            <w:tcW w:w="570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r>
      <w:tr>
        <w:trPr>
          <w:trHeight w:val="277"/>
        </w:trPr>
        <w:tc>
          <w:tcPr>
            <w:tcW w:w="1700" w:type="dxa"/>
            <w:vAlign w:val="bottom"/>
          </w:tcPr>
          <w:p>
            <w:pPr>
              <w:spacing w:after="0"/>
              <w:rPr>
                <w:sz w:val="24"/>
                <w:szCs w:val="24"/>
                <w:color w:val="auto"/>
              </w:rPr>
            </w:pPr>
          </w:p>
        </w:tc>
        <w:tc>
          <w:tcPr>
            <w:tcW w:w="5700" w:type="dxa"/>
            <w:vAlign w:val="bottom"/>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w w:val="97"/>
              </w:rPr>
              <w:t>NONE</w:t>
            </w:r>
          </w:p>
        </w:tc>
      </w:tr>
      <w:tr>
        <w:trPr>
          <w:trHeight w:val="155"/>
        </w:trPr>
        <w:tc>
          <w:tcPr>
            <w:tcW w:w="1700" w:type="dxa"/>
            <w:vAlign w:val="bottom"/>
          </w:tcPr>
          <w:p>
            <w:pPr>
              <w:spacing w:after="0"/>
              <w:rPr>
                <w:sz w:val="13"/>
                <w:szCs w:val="13"/>
                <w:color w:val="auto"/>
              </w:rPr>
            </w:pPr>
          </w:p>
        </w:tc>
        <w:tc>
          <w:tcPr>
            <w:tcW w:w="570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r>
    </w:tbl>
    <w:p>
      <w:pPr>
        <w:spacing w:after="0" w:line="13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Exchange Act:</w:t>
      </w:r>
    </w:p>
    <w:p>
      <w:pPr>
        <w:spacing w:after="0" w:line="141" w:lineRule="exact"/>
        <w:rPr>
          <w:sz w:val="24"/>
          <w:szCs w:val="24"/>
          <w:color w:val="auto"/>
        </w:rPr>
      </w:pPr>
    </w:p>
    <w:tbl>
      <w:tblPr>
        <w:tblLayout w:type="fixed"/>
        <w:tblInd w:w="18" w:type="dxa"/>
        <w:tblCellMar>
          <w:top w:w="0" w:type="dxa"/>
          <w:left w:w="0" w:type="dxa"/>
          <w:bottom w:w="0" w:type="dxa"/>
          <w:right w:w="0" w:type="dxa"/>
        </w:tblCellMar>
      </w:tblPr>
      <w:tr>
        <w:trPr>
          <w:trHeight w:val="162"/>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no par value per share</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CASY</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33" w:lineRule="exact"/>
        <w:rPr>
          <w:sz w:val="24"/>
          <w:szCs w:val="24"/>
          <w:color w:val="auto"/>
        </w:rPr>
      </w:pPr>
    </w:p>
    <w:p>
      <w:pPr>
        <w:ind w:left="8" w:right="24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2"/>
          <w:szCs w:val="12"/>
          <w:color w:val="auto"/>
        </w:rPr>
        <w:t>☐</w:t>
      </w:r>
    </w:p>
    <w:p>
      <w:pPr>
        <w:spacing w:after="0" w:line="116"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 xml:space="preserve">Item 7.01. </w:t>
      </w:r>
      <w:r>
        <w:rPr>
          <w:rFonts w:ascii="Times New Roman" w:cs="Times New Roman" w:eastAsia="Times New Roman" w:hAnsi="Times New Roman"/>
          <w:sz w:val="12"/>
          <w:szCs w:val="12"/>
          <w:b w:val="1"/>
          <w:bCs w:val="1"/>
          <w:u w:val="single" w:color="auto"/>
          <w:color w:val="auto"/>
        </w:rPr>
        <w:t>Regulation FD Disclosure</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As previously announced, on June 24, 2026, Casey's General Stores, Inc. will host its 2026 Investor Day in New York City. A copy of the presentation that will be utilized during the event is attached as Exhibit 99.1 and is incorporated herein by reference.</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including the presentation attached as Exhibit 99.1, is being furnished and shall not be deemed “filed” for purposes of Section 18 of the Securities Exchange Act of 1934, as amended,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9.01. </w:t>
      </w:r>
      <w:r>
        <w:rPr>
          <w:rFonts w:ascii="Times New Roman" w:cs="Times New Roman" w:eastAsia="Times New Roman" w:hAnsi="Times New Roman"/>
          <w:sz w:val="12"/>
          <w:szCs w:val="12"/>
          <w:b w:val="1"/>
          <w:bCs w:val="1"/>
          <w:u w:val="single" w:color="auto"/>
          <w:color w:val="auto"/>
        </w:rPr>
        <w:t>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560" w:type="dxa"/>
            <w:vAlign w:val="bottom"/>
          </w:tcPr>
          <w:p>
            <w:pPr>
              <w:spacing w:after="0"/>
              <w:rPr>
                <w:sz w:val="13"/>
                <w:szCs w:val="13"/>
                <w:color w:val="auto"/>
              </w:rPr>
            </w:pPr>
          </w:p>
        </w:tc>
        <w:tc>
          <w:tcPr>
            <w:tcW w:w="9380" w:type="dxa"/>
            <w:vAlign w:val="bottom"/>
          </w:tcPr>
          <w:p>
            <w:pPr>
              <w:spacing w:after="0"/>
              <w:rPr>
                <w:sz w:val="13"/>
                <w:szCs w:val="13"/>
                <w:color w:val="auto"/>
              </w:rPr>
            </w:pPr>
          </w:p>
        </w:tc>
      </w:tr>
      <w:tr>
        <w:trPr>
          <w:trHeight w:val="261"/>
        </w:trPr>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800" w:type="dxa"/>
            <w:vAlign w:val="bottom"/>
          </w:tcPr>
          <w:p>
            <w:pPr>
              <w:spacing w:after="0"/>
              <w:rPr>
                <w:sz w:val="22"/>
                <w:szCs w:val="2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9380" w:type="dxa"/>
            <w:vAlign w:val="bottom"/>
          </w:tcPr>
          <w:p>
            <w:pPr>
              <w:spacing w:after="0"/>
              <w:rPr>
                <w:sz w:val="22"/>
                <w:szCs w:val="22"/>
                <w:color w:val="auto"/>
              </w:rPr>
            </w:pPr>
          </w:p>
        </w:tc>
      </w:tr>
      <w:tr>
        <w:trPr>
          <w:trHeight w:val="268"/>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800" w:type="dxa"/>
            <w:vAlign w:val="bottom"/>
          </w:tcPr>
          <w:p>
            <w:pPr>
              <w:spacing w:after="0"/>
              <w:rPr>
                <w:sz w:val="23"/>
                <w:szCs w:val="23"/>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2026 Investor Day Presentation dated June 24, 2026</w:t>
            </w:r>
          </w:p>
        </w:tc>
      </w:tr>
      <w:tr>
        <w:trPr>
          <w:trHeight w:val="151"/>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38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CASEY'S GENERAL STORES, INC.</w:t>
      </w:r>
    </w:p>
    <w:p>
      <w:pPr>
        <w:spacing w:after="0" w:line="150" w:lineRule="exact"/>
        <w:rPr>
          <w:sz w:val="20"/>
          <w:szCs w:val="20"/>
          <w:color w:val="auto"/>
        </w:rPr>
      </w:pPr>
    </w:p>
    <w:p>
      <w:pPr>
        <w:ind w:left="860"/>
        <w:spacing w:after="0"/>
        <w:tabs>
          <w:tab w:leader="none" w:pos="5220" w:val="left"/>
          <w:tab w:leader="none" w:pos="5540" w:val="left"/>
        </w:tabs>
        <w:rPr>
          <w:sz w:val="20"/>
          <w:szCs w:val="20"/>
          <w:color w:val="auto"/>
        </w:rPr>
      </w:pPr>
      <w:r>
        <w:rPr>
          <w:rFonts w:ascii="Times New Roman" w:cs="Times New Roman" w:eastAsia="Times New Roman" w:hAnsi="Times New Roman"/>
          <w:sz w:val="12"/>
          <w:szCs w:val="12"/>
          <w:color w:val="auto"/>
        </w:rPr>
        <w:t>Dated: June 24,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Stephen P. Bramlage,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Stephen P. Bramlage Jr.</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226695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739"/>
          </w:cols>
          <w:pgMar w:left="720" w:top="125"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326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326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2026-06-24T08:24:57Z</dcterms:created>
  <dcterms:modified xsi:type="dcterms:W3CDTF">2026-06-24T08:24:57Z</dcterms:modified>
</cp:coreProperties>
</file>