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0001777759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CASEYS GENERAL STORES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001-34700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PO BOX 3001</w:t>
              <w:br/>
              <w:t>ANKENY</w:t>
              <w:br/>
              <w:t xml:space="preserve">IOWA </w:t>
              <w:br/>
              <w:t>50021</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515-965-6100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Koschel Williams Ena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2800</w:t>
            </w:r>
          </w:p>
        </w:tc>
        <w:tc>
          <w:tcPr>
            <w:tcW w:w="1452" w:type="dxa"/>
            <w:tcBorders/>
            <w:vAlign w:val="center"/>
          </w:tcPr>
          <w:p>
            <w:pPr>
              <w:pStyle w:val="TableContents"/>
              <w:bidi w:val="0"/>
              <w:spacing w:before="0" w:after="283"/>
              <w:jc w:val="left"/>
              <w:rPr/>
            </w:pPr>
            <w:r>
              <w:rPr/>
              <w:t>2334322.48</w:t>
            </w:r>
          </w:p>
        </w:tc>
        <w:tc>
          <w:tcPr>
            <w:tcW w:w="1544" w:type="dxa"/>
            <w:tcBorders/>
            <w:vAlign w:val="center"/>
          </w:tcPr>
          <w:p>
            <w:pPr>
              <w:pStyle w:val="TableContents"/>
              <w:bidi w:val="0"/>
              <w:spacing w:before="0" w:after="283"/>
              <w:jc w:val="left"/>
              <w:rPr/>
            </w:pPr>
            <w:r>
              <w:rPr/>
              <w:t>37004914</w:t>
            </w:r>
          </w:p>
        </w:tc>
        <w:tc>
          <w:tcPr>
            <w:tcW w:w="1562" w:type="dxa"/>
            <w:tcBorders/>
            <w:vAlign w:val="center"/>
          </w:tcPr>
          <w:p>
            <w:pPr>
              <w:pStyle w:val="TableContents"/>
              <w:bidi w:val="0"/>
              <w:spacing w:before="0" w:after="283"/>
              <w:jc w:val="left"/>
              <w:rPr/>
            </w:pPr>
            <w:r>
              <w:rPr/>
              <w:t>07/09/2026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2800</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Ena Koschel</w:t>
              <w:br/>
              <w:t>One SE Convenience Blvd.</w:t>
              <w:br/>
              <w:t>Ankeny   IA   50021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07/01/2026</w:t>
            </w:r>
          </w:p>
        </w:tc>
        <w:tc>
          <w:tcPr>
            <w:tcW w:w="1539" w:type="dxa"/>
            <w:tcBorders/>
            <w:vAlign w:val="center"/>
          </w:tcPr>
          <w:p>
            <w:pPr>
              <w:pStyle w:val="TableContents"/>
              <w:bidi w:val="0"/>
              <w:spacing w:before="0" w:after="283"/>
              <w:jc w:val="left"/>
              <w:rPr/>
            </w:pPr>
            <w:r>
              <w:rPr/>
              <w:t>3000</w:t>
            </w:r>
          </w:p>
        </w:tc>
        <w:tc>
          <w:tcPr>
            <w:tcW w:w="1820" w:type="dxa"/>
            <w:tcBorders/>
            <w:vAlign w:val="center"/>
          </w:tcPr>
          <w:p>
            <w:pPr>
              <w:pStyle w:val="TableContents"/>
              <w:bidi w:val="0"/>
              <w:spacing w:before="0" w:after="283"/>
              <w:jc w:val="left"/>
              <w:rPr/>
            </w:pPr>
            <w:r>
              <w:rPr/>
              <w:t>2355600.00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Gary Redman, as a duly authorized representative of Fidelity Brokerage Services LLC, as attorney-in-fact for Ena Koschel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3116</Characters>
  <CharactersWithSpaces>3670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