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92061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20" w:type="dxa"/>
            <w:vAlign w:val="bottom"/>
            <w:gridSpan w:val="2"/>
            <w:vMerge w:val="restart"/>
          </w:tcPr>
          <w:p>
            <w:pPr>
              <w:spacing w:after="0"/>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Lindsey Katrina S</w:t>
              </w:r>
            </w:hyperlink>
          </w:p>
        </w:tc>
        <w:tc>
          <w:tcPr>
            <w:tcW w:w="1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CASEYS GENERAL STORES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CASY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320" w:type="dxa"/>
            <w:vAlign w:val="bottom"/>
            <w:tcBorders>
              <w:top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200" w:type="dxa"/>
            <w:vAlign w:val="bottom"/>
            <w:tcBorders>
              <w:top w:val="single" w:sz="8" w:color="0000EE"/>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00" w:type="dxa"/>
            <w:vAlign w:val="bottom"/>
            <w:vMerge w:val="restart"/>
          </w:tcPr>
          <w:p>
            <w:pPr>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ONE SE CONVENIENCE BLVD.</w:t>
            </w:r>
          </w:p>
        </w:tc>
        <w:tc>
          <w:tcPr>
            <w:tcW w:w="1460" w:type="dxa"/>
            <w:vAlign w:val="bottom"/>
          </w:tcPr>
          <w:p>
            <w:pPr>
              <w:spacing w:after="0"/>
              <w:rPr>
                <w:sz w:val="18"/>
                <w:szCs w:val="18"/>
                <w:color w:val="auto"/>
              </w:rPr>
            </w:pP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06/15/2026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Chief Legal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16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ANKENY</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50021</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gridSpan w:val="6"/>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2"/>
          </w:tcPr>
          <w:p>
            <w:pPr>
              <w:jc w:val="center"/>
              <w:ind w:left="12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jc w:val="center"/>
              <w:ind w:left="11"/>
              <w:spacing w:after="0"/>
              <w:rPr>
                <w:sz w:val="20"/>
                <w:szCs w:val="20"/>
                <w:color w:val="auto"/>
              </w:rPr>
            </w:pPr>
            <w:r>
              <w:rPr>
                <w:rFonts w:ascii="Arial" w:cs="Arial" w:eastAsia="Arial" w:hAnsi="Arial"/>
                <w:sz w:val="9"/>
                <w:szCs w:val="9"/>
                <w:b w:val="1"/>
                <w:bCs w:val="1"/>
                <w:color w:val="auto"/>
                <w:w w:val="97"/>
              </w:rPr>
              <w:t>Code</w:t>
            </w:r>
          </w:p>
        </w:tc>
        <w:tc>
          <w:tcPr>
            <w:tcW w:w="42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6"/>
                <w:szCs w:val="6"/>
                <w:color w:val="auto"/>
              </w:rPr>
            </w:pPr>
          </w:p>
        </w:tc>
        <w:tc>
          <w:tcPr>
            <w:tcW w:w="740" w:type="dxa"/>
            <w:vAlign w:val="bottom"/>
            <w:vMerge w:val="restart"/>
          </w:tcPr>
          <w:p>
            <w:pPr>
              <w:jc w:val="center"/>
              <w:ind w:left="141"/>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jc w:val="right"/>
              <w:ind w:right="32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6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00FF"/>
              </w:rPr>
              <w:t>316</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4,355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6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00FF"/>
              </w:rPr>
              <w:t>245</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4,600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6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00FF"/>
              </w:rPr>
              <w:t>271</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4,871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0"/>
                <w:szCs w:val="10"/>
                <w:color w:val="0000FF"/>
              </w:rPr>
              <w:t>A</w:t>
            </w: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3"/>
                <w:szCs w:val="13"/>
                <w:color w:val="0000FF"/>
                <w:w w:val="94"/>
              </w:rPr>
              <w:t>7,096</w:t>
            </w:r>
            <w:r>
              <w:rPr>
                <w:rFonts w:ascii="Times New Roman" w:cs="Times New Roman" w:eastAsia="Times New Roman" w:hAnsi="Times New Roman"/>
                <w:sz w:val="17"/>
                <w:szCs w:val="17"/>
                <w:color w:val="008000"/>
                <w:w w:val="94"/>
                <w:vertAlign w:val="superscript"/>
              </w:rPr>
              <w:t>(1)</w:t>
            </w:r>
          </w:p>
        </w:tc>
        <w:tc>
          <w:tcPr>
            <w:tcW w:w="74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11,967</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0"/>
                <w:szCs w:val="10"/>
                <w:color w:val="0000FF"/>
              </w:rPr>
              <w:t>F</w:t>
            </w: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jc w:val="center"/>
              <w:ind w:left="207"/>
              <w:spacing w:after="0"/>
              <w:rPr>
                <w:sz w:val="20"/>
                <w:szCs w:val="20"/>
                <w:color w:val="auto"/>
              </w:rPr>
            </w:pPr>
            <w:r>
              <w:rPr>
                <w:rFonts w:ascii="Times New Roman" w:cs="Times New Roman" w:eastAsia="Times New Roman" w:hAnsi="Times New Roman"/>
                <w:sz w:val="13"/>
                <w:szCs w:val="13"/>
                <w:color w:val="0000FF"/>
              </w:rPr>
              <w:t>3,299</w:t>
            </w:r>
          </w:p>
        </w:tc>
        <w:tc>
          <w:tcPr>
            <w:tcW w:w="74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Times New Roman" w:cs="Times New Roman" w:eastAsia="Times New Roman" w:hAnsi="Times New Roman"/>
                <w:sz w:val="13"/>
                <w:szCs w:val="13"/>
                <w:color w:val="0000FF"/>
                <w:w w:val="96"/>
              </w:rPr>
              <w:t>872.39</w:t>
            </w:r>
            <w:r>
              <w:rPr>
                <w:rFonts w:ascii="Times New Roman" w:cs="Times New Roman" w:eastAsia="Times New Roman" w:hAnsi="Times New Roman"/>
                <w:sz w:val="17"/>
                <w:szCs w:val="17"/>
                <w:color w:val="008000"/>
                <w:w w:val="96"/>
                <w:vertAlign w:val="superscript"/>
              </w:rPr>
              <w:t>(2)</w:t>
            </w:r>
          </w:p>
        </w:tc>
        <w:tc>
          <w:tcPr>
            <w:tcW w:w="78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8,668</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Voting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vMerge w:val="restart"/>
          </w:tcPr>
          <w:p>
            <w:pPr>
              <w:jc w:val="center"/>
              <w:ind w:left="305"/>
              <w:spacing w:after="0"/>
              <w:rPr>
                <w:sz w:val="20"/>
                <w:szCs w:val="20"/>
                <w:color w:val="auto"/>
              </w:rPr>
            </w:pPr>
            <w:r>
              <w:rPr>
                <w:rFonts w:ascii="Times New Roman" w:cs="Times New Roman" w:eastAsia="Times New Roman" w:hAnsi="Times New Roman"/>
                <w:sz w:val="13"/>
                <w:szCs w:val="13"/>
                <w:color w:val="0000FF"/>
                <w:w w:val="91"/>
              </w:rPr>
              <w:t>190</w:t>
            </w:r>
            <w:r>
              <w:rPr>
                <w:rFonts w:ascii="Times New Roman" w:cs="Times New Roman" w:eastAsia="Times New Roman" w:hAnsi="Times New Roman"/>
                <w:sz w:val="17"/>
                <w:szCs w:val="17"/>
                <w:color w:val="008000"/>
                <w:w w:val="91"/>
                <w:vertAlign w:val="superscript"/>
              </w:rPr>
              <w:t>(3)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4"/>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tender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rights under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401k plan</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40" w:type="dxa"/>
            <w:vAlign w:val="bottom"/>
            <w:tcBorders>
              <w:bottom w:val="single" w:sz="8" w:color="2C2C2C"/>
            </w:tcBorders>
            <w:gridSpan w:val="1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2"/>
          </w:tcPr>
          <w:p>
            <w:pPr>
              <w:jc w:val="center"/>
              <w:ind w:left="12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10"/>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6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Securities</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20" w:type="dxa"/>
            <w:vAlign w:val="bottom"/>
          </w:tcPr>
          <w:p>
            <w:pPr>
              <w:spacing w:after="0"/>
              <w:rPr>
                <w:sz w:val="9"/>
                <w:szCs w:val="9"/>
                <w:color w:val="auto"/>
              </w:rPr>
            </w:pPr>
          </w:p>
        </w:tc>
        <w:tc>
          <w:tcPr>
            <w:tcW w:w="520" w:type="dxa"/>
            <w:vAlign w:val="bottom"/>
          </w:tcPr>
          <w:p>
            <w:pPr>
              <w:jc w:val="center"/>
              <w:ind w:right="7"/>
              <w:spacing w:after="0"/>
              <w:rPr>
                <w:sz w:val="20"/>
                <w:szCs w:val="20"/>
                <w:color w:val="auto"/>
              </w:rPr>
            </w:pPr>
            <w:r>
              <w:rPr>
                <w:rFonts w:ascii="Arial" w:cs="Arial" w:eastAsia="Arial" w:hAnsi="Arial"/>
                <w:sz w:val="9"/>
                <w:szCs w:val="9"/>
                <w:b w:val="1"/>
                <w:bCs w:val="1"/>
                <w:color w:val="auto"/>
              </w:rPr>
              <w:t>Expiration</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jc w:val="right"/>
              <w:ind w:right="229"/>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316</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(5)</w:t>
            </w: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9"/>
                <w:szCs w:val="9"/>
                <w:color w:val="008000"/>
                <w:w w:val="94"/>
              </w:rPr>
              <w:t>(5)</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316</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245</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(6)</w:t>
            </w: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9"/>
                <w:szCs w:val="9"/>
                <w:color w:val="008000"/>
                <w:w w:val="94"/>
              </w:rPr>
              <w:t>(6)</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245</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245</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271</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(7)</w:t>
            </w: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9"/>
                <w:szCs w:val="9"/>
                <w:color w:val="008000"/>
                <w:w w:val="94"/>
              </w:rPr>
              <w:t>(7)</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271</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542</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(8)</w:t>
            </w: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9"/>
                <w:szCs w:val="9"/>
                <w:color w:val="008000"/>
                <w:w w:val="94"/>
              </w:rPr>
              <w:t>(8)</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503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503</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number of shares of Common Stock earned upon the vesting of performance-based restricted stock units under Casey's 2024 fiscal year long-term incentive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Closing price of Casey's General Stores, Inc. Common Stock on June 15, 2026.</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Allocated to 401k plan account as of April 30, 2026. Does not include any shares allocated by the plan trustee after that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the right to receive, following vesting, one share of Common Stock.</w:t>
      </w:r>
    </w:p>
    <w:p>
      <w:pPr>
        <w:spacing w:after="0" w:line="40"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p>
      <w:pPr>
        <w:spacing w:after="0" w:line="3" w:lineRule="exact"/>
        <w:rPr>
          <w:rFonts w:ascii="Times New Roman" w:cs="Times New Roman" w:eastAsia="Times New Roman" w:hAnsi="Times New Roman"/>
          <w:sz w:val="10"/>
          <w:szCs w:val="10"/>
          <w:color w:val="008000"/>
        </w:rPr>
      </w:pPr>
    </w:p>
    <w:p>
      <w:pPr>
        <w:ind w:left="40" w:right="180" w:hanging="6"/>
        <w:spacing w:after="0" w:line="264"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in equal installments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30"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Erika Bertrand, under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Attorney dated December 11, 2025</w:t>
            </w: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1354"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2026-06-17T15:18:07Z</dcterms:created>
  <dcterms:modified xsi:type="dcterms:W3CDTF">2026-06-17T15:18:07Z</dcterms:modified>
</cp:coreProperties>
</file>