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60408.xml.htm"/>
      <w:bookmarkStart w:id="1" w:name="kswkform4_17885604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Trojan Greg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7755 CENTER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HUNTINGTON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Non-employee director equity compensation pursuant to terms and conditions of 2025 Stock Incentive Plan. This award will vest in full on the date of Casey's 2027 annual shareholder's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Non-employee director equity compensation pursuant to terms and conditions of 2025 Stock Incentive Plan. This award vested in full on the date of Casey's 2026 annual shareholder's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Ex.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September 3,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a2025-09x03trojanpoahand.htm"/>
      <w:bookmarkStart w:id="3" w:name="ksa202509x03trojanpoahand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7980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681</Words>
  <Characters>3650</Characters>
  <CharactersWithSpaces>4244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a2025-09x03trojanpoahand</dc:title>
</cp:coreProperties>
</file>