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626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62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Koschel Williams Ena</w:t>
        </w:r>
      </w:hyperlink>
    </w:p>
    <w:p>
      <w:pPr>
        <w:spacing w:after="0" w:line="307"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(Last)</w:t>
            </w:r>
          </w:p>
        </w:tc>
        <w:tc>
          <w:tcPr>
            <w:tcW w:w="1440" w:type="dxa"/>
            <w:vAlign w:val="bottom"/>
          </w:tcPr>
          <w:p>
            <w:pPr>
              <w:ind w:left="260"/>
              <w:spacing w:after="0"/>
              <w:rPr>
                <w:sz w:val="20"/>
                <w:szCs w:val="20"/>
                <w:color w:val="auto"/>
              </w:rPr>
            </w:pPr>
            <w:r>
              <w:rPr>
                <w:rFonts w:ascii="Arial" w:cs="Arial" w:eastAsia="Arial" w:hAnsi="Arial"/>
                <w:sz w:val="13"/>
                <w:szCs w:val="13"/>
                <w:color w:val="auto"/>
              </w:rPr>
              <w:t>(First)</w:t>
            </w:r>
          </w:p>
        </w:tc>
        <w:tc>
          <w:tcPr>
            <w:tcW w:w="122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2420" w:type="dxa"/>
            <w:vAlign w:val="bottom"/>
            <w:gridSpan w:val="2"/>
          </w:tcPr>
          <w:p>
            <w:pPr>
              <w:ind w:left="20"/>
              <w:spacing w:after="0"/>
              <w:rPr>
                <w:sz w:val="20"/>
                <w:szCs w:val="20"/>
                <w:color w:val="auto"/>
              </w:rPr>
            </w:pPr>
            <w:r>
              <w:rPr>
                <w:rFonts w:ascii="Arial" w:cs="Arial" w:eastAsia="Arial" w:hAnsi="Arial"/>
                <w:sz w:val="17"/>
                <w:szCs w:val="17"/>
                <w:color w:val="0000FF"/>
                <w:w w:val="96"/>
              </w:rPr>
              <w:t>ONE SE CONVENIENCE BLVD.</w:t>
            </w:r>
          </w:p>
        </w:tc>
        <w:tc>
          <w:tcPr>
            <w:tcW w:w="122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r>
      <w:tr>
        <w:trPr>
          <w:trHeight w:val="25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ANKENY</w:t>
            </w:r>
          </w:p>
        </w:tc>
        <w:tc>
          <w:tcPr>
            <w:tcW w:w="1440" w:type="dxa"/>
            <w:vAlign w:val="bottom"/>
          </w:tcPr>
          <w:p>
            <w:pPr>
              <w:ind w:left="260"/>
              <w:spacing w:after="0"/>
              <w:rPr>
                <w:sz w:val="20"/>
                <w:szCs w:val="20"/>
                <w:color w:val="auto"/>
              </w:rPr>
            </w:pPr>
            <w:r>
              <w:rPr>
                <w:rFonts w:ascii="Arial" w:cs="Arial" w:eastAsia="Arial" w:hAnsi="Arial"/>
                <w:sz w:val="17"/>
                <w:szCs w:val="17"/>
                <w:color w:val="0000FF"/>
              </w:rPr>
              <w:t>IA</w:t>
            </w:r>
          </w:p>
        </w:tc>
        <w:tc>
          <w:tcPr>
            <w:tcW w:w="1220" w:type="dxa"/>
            <w:vAlign w:val="bottom"/>
          </w:tcPr>
          <w:p>
            <w:pPr>
              <w:ind w:left="40"/>
              <w:spacing w:after="0"/>
              <w:rPr>
                <w:sz w:val="20"/>
                <w:szCs w:val="20"/>
                <w:color w:val="auto"/>
              </w:rPr>
            </w:pPr>
            <w:r>
              <w:rPr>
                <w:rFonts w:ascii="Arial" w:cs="Arial" w:eastAsia="Arial" w:hAnsi="Arial"/>
                <w:sz w:val="17"/>
                <w:szCs w:val="17"/>
                <w:color w:val="0000FF"/>
              </w:rPr>
              <w:t>50021</w:t>
            </w:r>
          </w:p>
        </w:tc>
      </w:tr>
      <w:tr>
        <w:trPr>
          <w:trHeight w:val="151"/>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440" w:type="dxa"/>
            <w:vAlign w:val="bottom"/>
          </w:tcPr>
          <w:p>
            <w:pPr>
              <w:ind w:left="260"/>
              <w:spacing w:after="0"/>
              <w:rPr>
                <w:sz w:val="20"/>
                <w:szCs w:val="20"/>
                <w:color w:val="auto"/>
              </w:rPr>
            </w:pPr>
            <w:r>
              <w:rPr>
                <w:rFonts w:ascii="Arial" w:cs="Arial" w:eastAsia="Arial" w:hAnsi="Arial"/>
                <w:sz w:val="13"/>
                <w:szCs w:val="13"/>
                <w:color w:val="auto"/>
              </w:rPr>
              <w:t>(State)</w:t>
            </w:r>
          </w:p>
        </w:tc>
        <w:tc>
          <w:tcPr>
            <w:tcW w:w="122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60"/>
              <w:spacing w:after="0"/>
              <w:rPr>
                <w:sz w:val="20"/>
                <w:szCs w:val="20"/>
                <w:color w:val="auto"/>
              </w:rPr>
            </w:pPr>
            <w:r>
              <w:rPr>
                <w:rFonts w:ascii="Arial" w:cs="Arial" w:eastAsia="Arial" w:hAnsi="Arial"/>
                <w:sz w:val="13"/>
                <w:szCs w:val="13"/>
                <w:color w:val="auto"/>
              </w:rPr>
              <w:t>2.</w:t>
            </w:r>
          </w:p>
        </w:tc>
        <w:tc>
          <w:tcPr>
            <w:tcW w:w="3620" w:type="dxa"/>
            <w:vAlign w:val="bottom"/>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3"/>
        </w:trPr>
        <w:tc>
          <w:tcPr>
            <w:tcW w:w="3820" w:type="dxa"/>
            <w:vAlign w:val="bottom"/>
            <w:gridSpan w:val="2"/>
          </w:tcPr>
          <w:p>
            <w:pPr>
              <w:ind w:left="60"/>
              <w:spacing w:after="0" w:line="204" w:lineRule="exact"/>
              <w:rPr>
                <w:rFonts w:ascii="Arial" w:cs="Arial" w:eastAsia="Arial" w:hAnsi="Arial"/>
                <w:sz w:val="21"/>
                <w:szCs w:val="21"/>
                <w:color w:val="0000EE"/>
                <w:w w:val="96"/>
              </w:rPr>
            </w:pPr>
            <w:hyperlink r:id="rId14">
              <w:r>
                <w:rPr>
                  <w:rFonts w:ascii="Arial" w:cs="Arial" w:eastAsia="Arial" w:hAnsi="Arial"/>
                  <w:sz w:val="21"/>
                  <w:szCs w:val="21"/>
                  <w:u w:val="single" w:color="auto"/>
                  <w:color w:val="0000EE"/>
                  <w:w w:val="96"/>
                </w:rPr>
                <w:t>CASEYS GENERAL STORES INC</w:t>
              </w:r>
              <w:r>
                <w:rPr>
                  <w:rFonts w:ascii="Arial" w:cs="Arial" w:eastAsia="Arial" w:hAnsi="Arial"/>
                  <w:sz w:val="21"/>
                  <w:szCs w:val="21"/>
                  <w:color w:val="0000EE"/>
                  <w:w w:val="96"/>
                </w:rPr>
                <w:t xml:space="preserve"> </w:t>
              </w:r>
            </w:hyperlink>
            <w:r>
              <w:rPr>
                <w:rFonts w:ascii="Arial" w:cs="Arial" w:eastAsia="Arial" w:hAnsi="Arial"/>
                <w:sz w:val="21"/>
                <w:szCs w:val="21"/>
                <w:color w:val="000000"/>
                <w:w w:val="96"/>
              </w:rPr>
              <w:t>[</w:t>
            </w:r>
            <w:r>
              <w:rPr>
                <w:rFonts w:ascii="Arial" w:cs="Arial" w:eastAsia="Arial" w:hAnsi="Arial"/>
                <w:sz w:val="21"/>
                <w:szCs w:val="21"/>
                <w:color w:val="0000EE"/>
                <w:w w:val="96"/>
              </w:rPr>
              <w:t xml:space="preserve"> </w:t>
            </w:r>
            <w:r>
              <w:rPr>
                <w:rFonts w:ascii="Arial" w:cs="Arial" w:eastAsia="Arial" w:hAnsi="Arial"/>
                <w:sz w:val="16"/>
                <w:szCs w:val="16"/>
                <w:color w:val="0000FF"/>
                <w:w w:val="96"/>
              </w:rPr>
              <w:t>CASY</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6"/>
        </w:trPr>
        <w:tc>
          <w:tcPr>
            <w:tcW w:w="200" w:type="dxa"/>
            <w:vAlign w:val="bottom"/>
            <w:vMerge w:val="restart"/>
          </w:tcPr>
          <w:p>
            <w:pPr>
              <w:ind w:left="60"/>
              <w:spacing w:after="0"/>
              <w:rPr>
                <w:sz w:val="20"/>
                <w:szCs w:val="20"/>
                <w:color w:val="auto"/>
              </w:rPr>
            </w:pPr>
            <w:r>
              <w:rPr>
                <w:rFonts w:ascii="Arial" w:cs="Arial" w:eastAsia="Arial" w:hAnsi="Arial"/>
                <w:sz w:val="21"/>
                <w:szCs w:val="21"/>
                <w:color w:val="auto"/>
              </w:rPr>
              <w:t>]</w:t>
            </w:r>
          </w:p>
        </w:tc>
        <w:tc>
          <w:tcPr>
            <w:tcW w:w="3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0" w:type="dxa"/>
            <w:vAlign w:val="bottom"/>
            <w:vMerge w:val="continue"/>
          </w:tcPr>
          <w:p>
            <w:pPr>
              <w:spacing w:after="0"/>
              <w:rPr>
                <w:sz w:val="12"/>
                <w:szCs w:val="12"/>
                <w:color w:val="auto"/>
              </w:rPr>
            </w:pPr>
          </w:p>
        </w:tc>
        <w:tc>
          <w:tcPr>
            <w:tcW w:w="3620" w:type="dxa"/>
            <w:vAlign w:val="bottom"/>
          </w:tcPr>
          <w:p>
            <w:pPr>
              <w:spacing w:after="0"/>
              <w:rPr>
                <w:sz w:val="12"/>
                <w:szCs w:val="12"/>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0" w:type="dxa"/>
            <w:vAlign w:val="bottom"/>
            <w:tcBorders>
              <w:bottom w:val="single" w:sz="8" w:color="2C2C2C"/>
            </w:tcBorders>
          </w:tcPr>
          <w:p>
            <w:pPr>
              <w:spacing w:after="0"/>
              <w:rPr>
                <w:sz w:val="7"/>
                <w:szCs w:val="7"/>
                <w:color w:val="auto"/>
              </w:rPr>
            </w:pPr>
          </w:p>
        </w:tc>
        <w:tc>
          <w:tcPr>
            <w:tcW w:w="3620" w:type="dxa"/>
            <w:vAlign w:val="bottom"/>
            <w:tcBorders>
              <w:bottom w:val="single" w:sz="8" w:color="2C2C2C"/>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200" w:type="dxa"/>
            <w:vAlign w:val="bottom"/>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0" w:type="dxa"/>
            <w:vAlign w:val="bottom"/>
            <w:vMerge w:val="continue"/>
          </w:tcPr>
          <w:p>
            <w:pPr>
              <w:spacing w:after="0"/>
              <w:rPr>
                <w:sz w:val="11"/>
                <w:szCs w:val="11"/>
                <w:color w:val="auto"/>
              </w:rPr>
            </w:pPr>
          </w:p>
        </w:tc>
        <w:tc>
          <w:tcPr>
            <w:tcW w:w="362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Operating Officer</w:t>
            </w:r>
          </w:p>
        </w:tc>
        <w:tc>
          <w:tcPr>
            <w:tcW w:w="0" w:type="dxa"/>
            <w:vAlign w:val="bottom"/>
          </w:tcPr>
          <w:p>
            <w:pPr>
              <w:spacing w:after="0"/>
              <w:rPr>
                <w:sz w:val="1"/>
                <w:szCs w:val="1"/>
                <w:color w:val="auto"/>
              </w:rPr>
            </w:pPr>
          </w:p>
        </w:tc>
      </w:tr>
      <w:tr>
        <w:trPr>
          <w:trHeight w:val="111"/>
        </w:trPr>
        <w:tc>
          <w:tcPr>
            <w:tcW w:w="3820" w:type="dxa"/>
            <w:vAlign w:val="bottom"/>
            <w:gridSpan w:val="2"/>
            <w:vMerge w:val="restart"/>
          </w:tcPr>
          <w:p>
            <w:pPr>
              <w:ind w:left="60"/>
              <w:spacing w:after="0"/>
              <w:rPr>
                <w:sz w:val="20"/>
                <w:szCs w:val="20"/>
                <w:color w:val="auto"/>
              </w:rPr>
            </w:pPr>
            <w:r>
              <w:rPr>
                <w:rFonts w:ascii="Arial" w:cs="Arial" w:eastAsia="Arial" w:hAnsi="Arial"/>
                <w:sz w:val="17"/>
                <w:szCs w:val="17"/>
                <w:color w:val="0000FF"/>
              </w:rPr>
              <w:t>06/02/2020</w:t>
            </w:r>
          </w:p>
        </w:tc>
        <w:tc>
          <w:tcPr>
            <w:tcW w:w="50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82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0" w:type="dxa"/>
            <w:vAlign w:val="bottom"/>
            <w:tcBorders>
              <w:bottom w:val="single" w:sz="8" w:color="2C2C2C"/>
            </w:tcBorders>
          </w:tcPr>
          <w:p>
            <w:pPr>
              <w:spacing w:after="0"/>
              <w:rPr>
                <w:sz w:val="10"/>
                <w:szCs w:val="10"/>
                <w:color w:val="auto"/>
              </w:rPr>
            </w:pPr>
          </w:p>
        </w:tc>
        <w:tc>
          <w:tcPr>
            <w:tcW w:w="3620" w:type="dxa"/>
            <w:vAlign w:val="bottom"/>
            <w:tcBorders>
              <w:bottom w:val="single" w:sz="8" w:color="2C2C2C"/>
            </w:tcBorders>
          </w:tcPr>
          <w:p>
            <w:pPr>
              <w:spacing w:after="0"/>
              <w:rPr>
                <w:sz w:val="10"/>
                <w:szCs w:val="10"/>
                <w:color w:val="auto"/>
              </w:rPr>
            </w:pPr>
          </w:p>
        </w:tc>
        <w:tc>
          <w:tcPr>
            <w:tcW w:w="3300" w:type="dxa"/>
            <w:vAlign w:val="bottom"/>
            <w:tcBorders>
              <w:bottom w:val="single" w:sz="8" w:color="2C2C2C"/>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00" w:type="dxa"/>
            <w:vAlign w:val="bottom"/>
          </w:tcPr>
          <w:p>
            <w:pPr>
              <w:ind w:left="60"/>
              <w:spacing w:after="0"/>
              <w:rPr>
                <w:sz w:val="20"/>
                <w:szCs w:val="20"/>
                <w:color w:val="auto"/>
              </w:rPr>
            </w:pPr>
            <w:r>
              <w:rPr>
                <w:rFonts w:ascii="Arial" w:cs="Arial" w:eastAsia="Arial" w:hAnsi="Arial"/>
                <w:sz w:val="13"/>
                <w:szCs w:val="13"/>
                <w:color w:val="auto"/>
              </w:rPr>
              <w:t>4.</w:t>
            </w:r>
          </w:p>
        </w:tc>
        <w:tc>
          <w:tcPr>
            <w:tcW w:w="3620" w:type="dxa"/>
            <w:vAlign w:val="bottom"/>
          </w:tcPr>
          <w:p>
            <w:pPr>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-2435225</wp:posOffset>
            </wp:positionH>
            <wp:positionV relativeFrom="paragraph">
              <wp:posOffset>153035</wp:posOffset>
            </wp:positionV>
            <wp:extent cx="6967220" cy="8832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883285"/>
                    </a:xfrm>
                    <a:prstGeom prst="rect">
                      <a:avLst/>
                    </a:prstGeom>
                    <a:noFill/>
                  </pic:spPr>
                </pic:pic>
              </a:graphicData>
            </a:graphic>
          </wp:anchor>
        </w:drawing>
      </w:r>
    </w:p>
    <w:p>
      <w:pPr>
        <w:spacing w:after="0" w:line="302"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24930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493010"/>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1,880</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80" w:type="dxa"/>
            <w:vAlign w:val="bottom"/>
            <w:vMerge w:val="restart"/>
          </w:tcPr>
          <w:p>
            <w:pPr>
              <w:jc w:val="right"/>
              <w:ind w:right="180"/>
              <w:spacing w:after="0" w:line="139" w:lineRule="exact"/>
              <w:rPr>
                <w:sz w:val="20"/>
                <w:szCs w:val="20"/>
                <w:color w:val="auto"/>
              </w:rPr>
            </w:pPr>
            <w:r>
              <w:rPr>
                <w:rFonts w:ascii="Arial" w:cs="Arial" w:eastAsia="Arial" w:hAnsi="Arial"/>
                <w:sz w:val="13"/>
                <w:szCs w:val="13"/>
                <w:color w:val="0000FF"/>
              </w:rPr>
              <w:t>06/02/2020</w:t>
            </w:r>
          </w:p>
        </w:tc>
        <w:tc>
          <w:tcPr>
            <w:tcW w:w="1100" w:type="dxa"/>
            <w:vAlign w:val="bottom"/>
          </w:tcPr>
          <w:p>
            <w:pPr>
              <w:spacing w:after="0"/>
              <w:rPr>
                <w:sz w:val="6"/>
                <w:szCs w:val="6"/>
                <w:color w:val="auto"/>
              </w:rPr>
            </w:pPr>
          </w:p>
        </w:tc>
        <w:tc>
          <w:tcPr>
            <w:tcW w:w="800" w:type="dxa"/>
            <w:vAlign w:val="bottom"/>
            <w:vMerge w:val="restart"/>
          </w:tcPr>
          <w:p>
            <w:pPr>
              <w:ind w:left="180"/>
              <w:spacing w:after="0" w:line="139" w:lineRule="exact"/>
              <w:rPr>
                <w:sz w:val="20"/>
                <w:szCs w:val="20"/>
                <w:color w:val="auto"/>
              </w:rPr>
            </w:pPr>
            <w:r>
              <w:rPr>
                <w:rFonts w:ascii="Arial" w:cs="Arial" w:eastAsia="Arial" w:hAnsi="Arial"/>
                <w:sz w:val="13"/>
                <w:szCs w:val="13"/>
                <w:color w:val="0000FF"/>
              </w:rPr>
              <w:t>A</w:t>
            </w:r>
          </w:p>
        </w:tc>
        <w:tc>
          <w:tcPr>
            <w:tcW w:w="480" w:type="dxa"/>
            <w:vAlign w:val="bottom"/>
            <w:vMerge w:val="restart"/>
          </w:tcPr>
          <w:p>
            <w:pPr>
              <w:ind w:left="100"/>
              <w:spacing w:after="0" w:line="139" w:lineRule="exact"/>
              <w:rPr>
                <w:sz w:val="20"/>
                <w:szCs w:val="20"/>
                <w:color w:val="auto"/>
              </w:rPr>
            </w:pPr>
            <w:r>
              <w:rPr>
                <w:rFonts w:ascii="Arial" w:cs="Arial" w:eastAsia="Arial" w:hAnsi="Arial"/>
                <w:sz w:val="13"/>
                <w:szCs w:val="13"/>
                <w:color w:val="0000FF"/>
              </w:rPr>
              <w:t>1,880</w:t>
            </w:r>
          </w:p>
        </w:tc>
        <w:tc>
          <w:tcPr>
            <w:tcW w:w="260" w:type="dxa"/>
            <w:vAlign w:val="bottom"/>
          </w:tcPr>
          <w:p>
            <w:pPr>
              <w:spacing w:after="0"/>
              <w:rPr>
                <w:sz w:val="6"/>
                <w:szCs w:val="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ind w:left="340"/>
              <w:spacing w:after="0" w:line="139" w:lineRule="exact"/>
              <w:rPr>
                <w:sz w:val="20"/>
                <w:szCs w:val="20"/>
                <w:color w:val="auto"/>
              </w:rPr>
            </w:pPr>
            <w:r>
              <w:rPr>
                <w:rFonts w:ascii="Arial" w:cs="Arial" w:eastAsia="Arial" w:hAnsi="Arial"/>
                <w:sz w:val="13"/>
                <w:szCs w:val="13"/>
                <w:color w:val="0000FF"/>
              </w:rPr>
              <w:t>1,880</w:t>
            </w:r>
          </w:p>
        </w:tc>
        <w:tc>
          <w:tcPr>
            <w:tcW w:w="7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line="23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5,975</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ind w:left="340"/>
              <w:spacing w:after="0" w:line="139" w:lineRule="exact"/>
              <w:rPr>
                <w:sz w:val="20"/>
                <w:szCs w:val="20"/>
                <w:color w:val="auto"/>
              </w:rPr>
            </w:pPr>
            <w:r>
              <w:rPr>
                <w:rFonts w:ascii="Arial" w:cs="Arial" w:eastAsia="Arial" w:hAnsi="Arial"/>
                <w:sz w:val="13"/>
                <w:szCs w:val="13"/>
                <w:color w:val="0000FF"/>
              </w:rPr>
              <w:t>5,975</w:t>
            </w:r>
          </w:p>
        </w:tc>
        <w:tc>
          <w:tcPr>
            <w:tcW w:w="7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7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jc w:val="both"/>
        <w:ind w:left="40" w:right="22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terms and conditions of 2018 Stock Incentive Plan. This award will vest in equal installments on June 15, 2021, June 15, 2022 and June 15, 2023. Not included in the reported award amount is a target amount of performance-based restricted stock units that will vest on June 15, 2023, but which are subject to the satisfaction of certain performance criteria other than solely the price of Casey's Common Stock; the final amount of shares earned, if any, will be reported upon vest and satisfaction of those performance measures.</w:t>
      </w:r>
    </w:p>
    <w:p>
      <w:pPr>
        <w:spacing w:after="0" w:line="30"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the right to receive, following vesting, one share of Common Stock.</w:t>
      </w:r>
    </w:p>
    <w:p>
      <w:pPr>
        <w:spacing w:after="0" w:line="45" w:lineRule="exact"/>
        <w:rPr>
          <w:rFonts w:ascii="Arial" w:cs="Arial" w:eastAsia="Arial" w:hAnsi="Arial"/>
          <w:sz w:val="13"/>
          <w:szCs w:val="13"/>
          <w:color w:val="008000"/>
        </w:rPr>
      </w:pPr>
    </w:p>
    <w:p>
      <w:pPr>
        <w:ind w:left="40" w:right="42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terms and conditions of 2018 Stock Incentive Plan and in accordance with the terms and conditions of a "make-whole award" of June 1, 2020, granted in conjunction with commencement of employment as Casey's Chief Operating Officer. This award will vest at a rate of 1/3 of the initial award on each of the first three anniversaries of the award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Scott Faber, under Power of</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06/04/2020</w:t>
            </w:r>
          </w:p>
        </w:tc>
        <w:tc>
          <w:tcPr>
            <w:tcW w:w="0" w:type="dxa"/>
            <w:vAlign w:val="bottom"/>
          </w:tcPr>
          <w:p>
            <w:pPr>
              <w:spacing w:after="0"/>
              <w:rPr>
                <w:sz w:val="1"/>
                <w:szCs w:val="1"/>
                <w:color w:val="auto"/>
              </w:rPr>
            </w:pPr>
          </w:p>
        </w:tc>
      </w:tr>
      <w:tr>
        <w:trPr>
          <w:trHeight w:val="20"/>
        </w:trPr>
        <w:tc>
          <w:tcPr>
            <w:tcW w:w="1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w w:val="99"/>
              </w:rPr>
              <w:t>Attorney dated May 22, 2020</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198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22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7759" TargetMode="External"/><Relationship Id="rId14" Type="http://schemas.openxmlformats.org/officeDocument/2006/relationships/hyperlink" Target="http://www.sec.gov/cgi-bin/browse-edgar?action=getcompany&amp;CIK=00007269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2020-06-04T18:32:51Z</dcterms:created>
  <dcterms:modified xsi:type="dcterms:W3CDTF">2020-06-04T18:32:51Z</dcterms:modified>
</cp:coreProperties>
</file>